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EA20F" w14:textId="089E3B4B" w:rsidR="008562DF" w:rsidRPr="00965395" w:rsidRDefault="008562DF">
      <w:pPr>
        <w:pStyle w:val="a3"/>
        <w:ind w:left="1335"/>
        <w:rPr>
          <w:rFonts w:ascii="Times New Roman" w:hAnsi="Times New Roman" w:cs="Times New Roman"/>
          <w:sz w:val="14"/>
          <w:szCs w:val="14"/>
        </w:rPr>
      </w:pPr>
    </w:p>
    <w:p w14:paraId="0C4B91E5" w14:textId="53096A3A" w:rsidR="00B969D4" w:rsidRPr="00965395" w:rsidRDefault="00D85B69" w:rsidP="00B969D4">
      <w:pPr>
        <w:pStyle w:val="10"/>
        <w:shd w:val="clear" w:color="auto" w:fill="auto"/>
        <w:spacing w:after="560"/>
        <w:ind w:firstLine="180"/>
        <w:jc w:val="center"/>
        <w:rPr>
          <w:b/>
          <w:bCs/>
          <w:color w:val="auto"/>
          <w:sz w:val="14"/>
          <w:szCs w:val="14"/>
          <w:lang w:val="ru-RU"/>
        </w:rPr>
      </w:pPr>
      <w:r w:rsidRPr="00965395">
        <w:rPr>
          <w:b/>
          <w:bCs/>
          <w:color w:val="auto"/>
          <w:sz w:val="14"/>
          <w:szCs w:val="14"/>
          <w:lang w:val="ru-RU"/>
        </w:rPr>
        <w:t>ОПТИМАКС ЛЮТЕИН</w:t>
      </w:r>
      <w:r w:rsidR="008B0F95" w:rsidRPr="00965395">
        <w:rPr>
          <w:b/>
          <w:bCs/>
          <w:color w:val="auto"/>
          <w:sz w:val="14"/>
          <w:szCs w:val="14"/>
          <w:lang w:val="ru-RU"/>
        </w:rPr>
        <w:br/>
      </w:r>
      <w:r w:rsidRPr="00965395">
        <w:rPr>
          <w:b/>
          <w:bCs/>
          <w:color w:val="auto"/>
          <w:sz w:val="14"/>
          <w:szCs w:val="14"/>
          <w:lang w:val="ru-RU"/>
        </w:rPr>
        <w:t xml:space="preserve">Инструкция </w:t>
      </w:r>
      <w:r w:rsidR="008B0F95" w:rsidRPr="00965395">
        <w:rPr>
          <w:b/>
          <w:bCs/>
          <w:color w:val="auto"/>
          <w:sz w:val="14"/>
          <w:szCs w:val="14"/>
          <w:lang w:val="ru-RU"/>
        </w:rPr>
        <w:br/>
      </w:r>
      <w:r w:rsidRPr="00965395">
        <w:rPr>
          <w:b/>
          <w:bCs/>
          <w:color w:val="auto"/>
          <w:sz w:val="14"/>
          <w:szCs w:val="14"/>
          <w:lang w:val="ru-RU"/>
        </w:rPr>
        <w:t>по медицинскому применению лекарственного средства</w:t>
      </w:r>
    </w:p>
    <w:p w14:paraId="4F99AFEF" w14:textId="2B3D0412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Торговое название: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Оптимакс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Лютеин</w:t>
      </w:r>
      <w:proofErr w:type="spellEnd"/>
      <w:r w:rsidR="00D85B69"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55FF3EC9" w14:textId="02EF8C31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 xml:space="preserve">Международное непатентованное название: </w:t>
      </w:r>
      <w:r w:rsidR="00D43A82">
        <w:rPr>
          <w:rFonts w:ascii="Times New Roman" w:eastAsiaTheme="minorHAnsi" w:hAnsi="Times New Roman" w:cs="Times New Roman"/>
          <w:sz w:val="14"/>
          <w:szCs w:val="14"/>
        </w:rPr>
        <w:t>В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итаминно-минеральный препарат.</w:t>
      </w:r>
    </w:p>
    <w:p w14:paraId="3C18927E" w14:textId="00C111CE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Лекарственная форма:</w:t>
      </w:r>
      <w:r w:rsidR="00D43A82">
        <w:rPr>
          <w:rFonts w:ascii="Times New Roman" w:eastAsiaTheme="minorHAnsi" w:hAnsi="Times New Roman" w:cs="Times New Roman"/>
          <w:sz w:val="14"/>
          <w:szCs w:val="14"/>
        </w:rPr>
        <w:t xml:space="preserve"> Т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аблетки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для приема внутрь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24ED3DD4" w14:textId="0D3A093D" w:rsidR="002721D7" w:rsidRPr="00965395" w:rsidRDefault="002721D7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proofErr w:type="spellStart"/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Фармако</w:t>
      </w:r>
      <w:proofErr w:type="spellEnd"/>
      <w:r w:rsidR="003112F2" w:rsidRPr="00965395">
        <w:rPr>
          <w:rFonts w:ascii="Times New Roman" w:eastAsiaTheme="minorHAnsi" w:hAnsi="Times New Roman" w:cs="Times New Roman"/>
          <w:b/>
          <w:sz w:val="14"/>
          <w:szCs w:val="14"/>
        </w:rPr>
        <w:t>-</w:t>
      </w: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терапевтическая</w:t>
      </w:r>
      <w:proofErr w:type="gramEnd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группа:</w:t>
      </w:r>
      <w:r w:rsidR="00D43A82">
        <w:rPr>
          <w:rFonts w:ascii="Times New Roman" w:eastAsiaTheme="minorHAnsi" w:hAnsi="Times New Roman" w:cs="Times New Roman"/>
          <w:sz w:val="14"/>
          <w:szCs w:val="14"/>
        </w:rPr>
        <w:t xml:space="preserve"> В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итамины и минералы.</w:t>
      </w:r>
    </w:p>
    <w:p w14:paraId="15B8ADB7" w14:textId="242E5421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i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 xml:space="preserve">Состав: </w:t>
      </w:r>
      <w:r w:rsidR="00D43A82">
        <w:rPr>
          <w:rFonts w:ascii="Times New Roman" w:eastAsiaTheme="minorHAnsi" w:hAnsi="Times New Roman" w:cs="Times New Roman"/>
          <w:i/>
          <w:sz w:val="14"/>
          <w:szCs w:val="14"/>
        </w:rPr>
        <w:t>К</w:t>
      </w:r>
      <w:r w:rsidRPr="00965395">
        <w:rPr>
          <w:rFonts w:ascii="Times New Roman" w:eastAsiaTheme="minorHAnsi" w:hAnsi="Times New Roman" w:cs="Times New Roman"/>
          <w:i/>
          <w:sz w:val="14"/>
          <w:szCs w:val="14"/>
        </w:rPr>
        <w:t>аждая таблетка содержит:</w:t>
      </w:r>
    </w:p>
    <w:p w14:paraId="66DEC503" w14:textId="77777777" w:rsidR="00D43A82" w:rsidRDefault="00F07DFD" w:rsidP="00F07DFD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Экстракт 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сухого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бархатца стандартизированный на 80% содерж</w:t>
      </w:r>
      <w:r w:rsidR="00D43A82">
        <w:rPr>
          <w:rFonts w:ascii="Times New Roman" w:eastAsiaTheme="minorHAnsi" w:hAnsi="Times New Roman" w:cs="Times New Roman"/>
          <w:sz w:val="14"/>
          <w:szCs w:val="14"/>
        </w:rPr>
        <w:t xml:space="preserve">ание </w:t>
      </w:r>
      <w:proofErr w:type="spellStart"/>
      <w:r w:rsidR="00D43A82">
        <w:rPr>
          <w:rFonts w:ascii="Times New Roman" w:eastAsiaTheme="minorHAnsi" w:hAnsi="Times New Roman" w:cs="Times New Roman"/>
          <w:sz w:val="14"/>
          <w:szCs w:val="14"/>
        </w:rPr>
        <w:t>лютеина</w:t>
      </w:r>
      <w:proofErr w:type="spellEnd"/>
      <w:r w:rsidR="00D43A82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</w:p>
    <w:p w14:paraId="48297019" w14:textId="0B38FB4E" w:rsidR="00F07DFD" w:rsidRPr="00965395" w:rsidRDefault="00D43A82" w:rsidP="00F07DFD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>
        <w:rPr>
          <w:rFonts w:ascii="Times New Roman" w:eastAsiaTheme="minorHAnsi" w:hAnsi="Times New Roman" w:cs="Times New Roman"/>
          <w:sz w:val="14"/>
          <w:szCs w:val="14"/>
        </w:rPr>
        <w:t xml:space="preserve">31,25 мг,  </w:t>
      </w:r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 xml:space="preserve">включая 25 мг </w:t>
      </w:r>
      <w:proofErr w:type="spellStart"/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>лютеина</w:t>
      </w:r>
      <w:proofErr w:type="spellEnd"/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667682B7" w14:textId="77777777" w:rsidR="00D43A82" w:rsidRDefault="00F07DFD" w:rsidP="00F07DFD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Экстракт 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сухого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бархатца стандартизированный на 20% содержание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зеаксантина</w:t>
      </w:r>
      <w:proofErr w:type="spellEnd"/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</w:p>
    <w:p w14:paraId="78BE4685" w14:textId="6B819FDD" w:rsidR="00F07DFD" w:rsidRPr="00965395" w:rsidRDefault="00910511" w:rsidP="00F07DFD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5 мг, включая 1 мг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зеаксантина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36A45B8C" w14:textId="5F0AE21E" w:rsidR="00F07DFD" w:rsidRPr="00965395" w:rsidRDefault="00F07DFD" w:rsidP="00F07DFD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Сухой экстракт европейской черники, стандартизированный на 25% содержание 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антоцианинов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2,5 мг</w:t>
      </w:r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 xml:space="preserve">, включая 0,625 мг </w:t>
      </w:r>
      <w:proofErr w:type="spellStart"/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>антоцианинов</w:t>
      </w:r>
      <w:proofErr w:type="spellEnd"/>
      <w:r w:rsidR="0091051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5A58CDD1" w14:textId="45A3E56D" w:rsidR="00F07DFD" w:rsidRPr="00965395" w:rsidRDefault="00F07DFD" w:rsidP="00F07DFD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Сухой экстракт виноградных 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косточек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стандартизированный на 95% содержание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проантоцианидинов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2,5 мг, включая 2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,375 мг </w:t>
      </w:r>
      <w:proofErr w:type="spellStart"/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проантоцианидинов</w:t>
      </w:r>
      <w:proofErr w:type="spellEnd"/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1BDCC177" w14:textId="3BA55B58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Е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30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7EF6B357" w14:textId="51AE0327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С</w:t>
      </w:r>
      <w:proofErr w:type="gramEnd"/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…………………..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60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594B0AE3" w14:textId="1BBBD440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 А</w:t>
      </w:r>
      <w:proofErr w:type="gramEnd"/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600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мкг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</w:p>
    <w:p w14:paraId="2EED9117" w14:textId="0FCA5001" w:rsidR="00F07DFD" w:rsidRPr="00965395" w:rsidRDefault="00C5577A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  В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1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1</w:t>
      </w:r>
      <w:r w:rsidR="005E042F" w:rsidRPr="00965395">
        <w:rPr>
          <w:rFonts w:ascii="Times New Roman" w:eastAsiaTheme="minorHAnsi" w:hAnsi="Times New Roman" w:cs="Times New Roman"/>
          <w:sz w:val="14"/>
          <w:szCs w:val="14"/>
        </w:rPr>
        <w:t>,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5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6AE3E509" w14:textId="5F6BE50B" w:rsidR="00F07DFD" w:rsidRPr="00965395" w:rsidRDefault="00B23D80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 В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2</w:t>
      </w:r>
      <w:proofErr w:type="gramEnd"/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3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43D687A0" w14:textId="493EB70E" w:rsidR="00F07DFD" w:rsidRPr="00965395" w:rsidRDefault="00C5577A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  В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6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 ………………....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2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181DDA9F" w14:textId="060168AF" w:rsidR="00F07DFD" w:rsidRPr="00965395" w:rsidRDefault="00664B50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hAnsi="Times New Roman" w:cs="Times New Roman"/>
          <w:noProof/>
          <w:sz w:val="14"/>
          <w:szCs w:val="14"/>
          <w:lang w:eastAsia="ru-RU"/>
        </w:rPr>
        <w:drawing>
          <wp:anchor distT="0" distB="0" distL="114300" distR="114300" simplePos="0" relativeHeight="251659264" behindDoc="1" locked="0" layoutInCell="1" allowOverlap="1" wp14:anchorId="563072F2" wp14:editId="119AE2BE">
            <wp:simplePos x="0" y="0"/>
            <wp:positionH relativeFrom="column">
              <wp:posOffset>-1227795</wp:posOffset>
            </wp:positionH>
            <wp:positionV relativeFrom="paragraph">
              <wp:posOffset>288067</wp:posOffset>
            </wp:positionV>
            <wp:extent cx="5627979" cy="3818834"/>
            <wp:effectExtent l="0" t="0" r="0" b="0"/>
            <wp:wrapNone/>
            <wp:docPr id="4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019461">
                      <a:off x="0" y="0"/>
                      <a:ext cx="5632712" cy="38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>Селен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 xml:space="preserve"> 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………………………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55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мкг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4C58C2E7" w14:textId="7F19B7D2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  В12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……………...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0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,5 мкг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0439FA27" w14:textId="18ADE09D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Цинк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………………………...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10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3F3E62AA" w14:textId="618E9B1C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Медь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1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575BEBF3" w14:textId="36E1643A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Ликопин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1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5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7C779B18" w14:textId="7FCEE3DA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Таурин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……………………..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400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1385F569" w14:textId="3F0819C8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Рутин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………………………..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75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15248335" w14:textId="34D1E39A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Магний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10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0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34CA355D" w14:textId="73154B88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Фосфор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………………………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35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4C6DF199" w14:textId="12FF9047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Хром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………………………..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30 мкг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30DA58FE" w14:textId="714EAE9C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Калий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………………………...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20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4394DD04" w14:textId="728D8710" w:rsidR="00F07DFD" w:rsidRPr="00965395" w:rsidRDefault="0026202C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  </w:t>
      </w:r>
      <w:r w:rsidRPr="00965395">
        <w:rPr>
          <w:rFonts w:ascii="Times New Roman" w:eastAsiaTheme="minorHAnsi" w:hAnsi="Times New Roman" w:cs="Times New Roman"/>
          <w:sz w:val="14"/>
          <w:szCs w:val="14"/>
          <w:lang w:val="en-US"/>
        </w:rPr>
        <w:t>B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7 (б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>иотин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)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5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>0 мкг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40EFCD00" w14:textId="3A835C56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Марганец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……………………...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5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4A985E14" w14:textId="5C7A1BE4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Д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………………...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2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00 МЕ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525E0061" w14:textId="538CF310" w:rsidR="00F07DFD" w:rsidRPr="00965395" w:rsidRDefault="00C5577A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Витамин В5 …………………...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6</w:t>
      </w:r>
      <w:r w:rsidR="00F07DFD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37F7769B" w14:textId="6155829B" w:rsidR="00F07DFD" w:rsidRPr="00965395" w:rsidRDefault="00F07DFD" w:rsidP="00F07DFD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Кальций </w:t>
      </w:r>
      <w:r w:rsidR="00C5577A" w:rsidRPr="00965395">
        <w:rPr>
          <w:rFonts w:ascii="Times New Roman" w:eastAsiaTheme="minorHAnsi" w:hAnsi="Times New Roman" w:cs="Times New Roman"/>
          <w:sz w:val="14"/>
          <w:szCs w:val="14"/>
        </w:rPr>
        <w:t>…………………….</w:t>
      </w:r>
      <w:r w:rsidR="00324707" w:rsidRPr="00965395">
        <w:rPr>
          <w:rFonts w:ascii="Times New Roman" w:eastAsiaTheme="minorHAnsi" w:hAnsi="Times New Roman" w:cs="Times New Roman"/>
          <w:sz w:val="14"/>
          <w:szCs w:val="14"/>
        </w:rPr>
        <w:t>100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мг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;</w:t>
      </w:r>
    </w:p>
    <w:p w14:paraId="66E65E0F" w14:textId="7BD86714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 xml:space="preserve">Код АТХ: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A11AB.</w:t>
      </w:r>
    </w:p>
    <w:p w14:paraId="2EB35E63" w14:textId="242A4163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bCs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Фармакологическое действие:</w:t>
      </w:r>
    </w:p>
    <w:p w14:paraId="3238B5E3" w14:textId="4D27E37E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i/>
          <w:sz w:val="14"/>
          <w:szCs w:val="14"/>
        </w:rPr>
      </w:pPr>
      <w:proofErr w:type="spellStart"/>
      <w:r w:rsidRPr="00965395">
        <w:rPr>
          <w:rFonts w:ascii="Times New Roman" w:eastAsiaTheme="minorHAnsi" w:hAnsi="Times New Roman" w:cs="Times New Roman"/>
          <w:i/>
          <w:sz w:val="14"/>
          <w:szCs w:val="14"/>
        </w:rPr>
        <w:t>Фармакодинамика</w:t>
      </w:r>
      <w:proofErr w:type="spellEnd"/>
      <w:r w:rsidRPr="00965395">
        <w:rPr>
          <w:rFonts w:ascii="Times New Roman" w:eastAsiaTheme="minorHAnsi" w:hAnsi="Times New Roman" w:cs="Times New Roman"/>
          <w:i/>
          <w:sz w:val="14"/>
          <w:szCs w:val="14"/>
        </w:rPr>
        <w:t>:</w:t>
      </w:r>
    </w:p>
    <w:p w14:paraId="2F68C7D0" w14:textId="60960022" w:rsidR="008B0F95" w:rsidRPr="00965395" w:rsidRDefault="008B0F95" w:rsidP="00681B02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Специально подобранные компоненты </w:t>
      </w:r>
      <w:proofErr w:type="spellStart"/>
      <w:r w:rsidR="00714738" w:rsidRPr="00965395">
        <w:rPr>
          <w:rFonts w:ascii="Times New Roman" w:eastAsiaTheme="minorHAnsi" w:hAnsi="Times New Roman" w:cs="Times New Roman"/>
          <w:sz w:val="14"/>
          <w:szCs w:val="14"/>
        </w:rPr>
        <w:t>Оптимакс</w:t>
      </w:r>
      <w:proofErr w:type="spellEnd"/>
      <w:r w:rsidR="00714738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proofErr w:type="spellStart"/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>Лютеин</w:t>
      </w:r>
      <w:proofErr w:type="spellEnd"/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 xml:space="preserve"> способствуют повышению остроты зрения при утомлении глаз, улучшают микроциркуляцию и укрепляют капилляры глаза, оказывают выраженное антиоксидантное действие, тем самым замедляя развитие возрастных изменений глаз.</w:t>
      </w:r>
    </w:p>
    <w:p w14:paraId="5F95EAE7" w14:textId="0EADBDE5" w:rsidR="00681B02" w:rsidRPr="00965395" w:rsidRDefault="00681B02" w:rsidP="00681B02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proofErr w:type="spell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Лютеин</w:t>
      </w:r>
      <w:proofErr w:type="spellEnd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и </w:t>
      </w:r>
      <w:proofErr w:type="spell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зеаксантин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—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каротиноиды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>, поступающие в организм человека с пищей, защищающие клетки глазного дна и хрусталика от повреждающего действия света и свободных радикалов, замедляя тем самым развитие возрастных изменений глаз.</w:t>
      </w:r>
      <w:r w:rsidR="00E44ACA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 xml:space="preserve">Лютеин, </w:t>
      </w:r>
      <w:proofErr w:type="gramStart"/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>получаемый</w:t>
      </w:r>
      <w:proofErr w:type="gramEnd"/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из лепестков бархатцев, выполняет защитную (поглощает часть спектра световых лучей, которая агрессивно воздействует на глаза) и антиоксидантную функции (нейтрализует действие тех агрессивных лучей, которые все-таки проникли в сетчатку). Таким образом, он предупреждает повреждение сетчатки и помутнение хрусталика глаза.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ВМК содержит максимальное содержание лютеина 25 мг.</w:t>
      </w:r>
    </w:p>
    <w:p w14:paraId="492C25F2" w14:textId="299D088D" w:rsidR="00681B02" w:rsidRPr="00965395" w:rsidRDefault="00681B02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proofErr w:type="spell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Антоцианины</w:t>
      </w:r>
      <w:proofErr w:type="spellEnd"/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-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вещества, содержащиеся в заметных концентрациях в чернике, участвуют в    образовании и восстановлении пигмента сетчатки родопсина, улучшая адаптацию к различным уровням освещенности и усиливая остроту зрения в темное время суток.</w:t>
      </w:r>
    </w:p>
    <w:p w14:paraId="75ACD4D9" w14:textId="0275A4D5" w:rsidR="00E2581A" w:rsidRPr="00965395" w:rsidRDefault="00681B02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Экстракт виноградных косточек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 содержит в себе такое полезное вещество, как ресвератрол. </w:t>
      </w:r>
      <w:r w:rsidR="00D43A82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Он необходим для поддержания зрения, так как выступает </w:t>
      </w:r>
      <w:proofErr w:type="gramStart"/>
      <w:r w:rsidRPr="00965395">
        <w:rPr>
          <w:rFonts w:ascii="Times New Roman" w:eastAsiaTheme="minorHAnsi" w:hAnsi="Times New Roman" w:cs="Times New Roman"/>
          <w:sz w:val="14"/>
          <w:szCs w:val="14"/>
        </w:rPr>
        <w:t>мощнейшим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антиоксидантном, нейтрализуя вредные для глаз радикалы. Способствует скорейшему выздоровлению при воспалительных болезнях глаз, например, при конъюнктивите, помогает бороться с паразитами при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демодексе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1058E768" w14:textId="3D7A594E" w:rsidR="007A412F" w:rsidRPr="00965395" w:rsidRDefault="00D43A82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>
        <w:rPr>
          <w:rFonts w:ascii="Times New Roman" w:eastAsiaTheme="minorHAnsi" w:hAnsi="Times New Roman" w:cs="Times New Roman"/>
          <w:b/>
          <w:sz w:val="14"/>
          <w:szCs w:val="14"/>
        </w:rPr>
        <w:t>Витамин В</w:t>
      </w:r>
      <w:proofErr w:type="gramStart"/>
      <w:r>
        <w:rPr>
          <w:rFonts w:ascii="Times New Roman" w:eastAsiaTheme="minorHAnsi" w:hAnsi="Times New Roman" w:cs="Times New Roman"/>
          <w:b/>
          <w:sz w:val="14"/>
          <w:szCs w:val="14"/>
        </w:rPr>
        <w:t>1</w:t>
      </w:r>
      <w:proofErr w:type="gramEnd"/>
      <w:r>
        <w:rPr>
          <w:rFonts w:ascii="Times New Roman" w:eastAsiaTheme="minorHAnsi" w:hAnsi="Times New Roman" w:cs="Times New Roman"/>
          <w:b/>
          <w:sz w:val="14"/>
          <w:szCs w:val="14"/>
        </w:rPr>
        <w:t xml:space="preserve"> (т</w:t>
      </w:r>
      <w:r w:rsidR="00E2581A" w:rsidRPr="00965395">
        <w:rPr>
          <w:rFonts w:ascii="Times New Roman" w:eastAsiaTheme="minorHAnsi" w:hAnsi="Times New Roman" w:cs="Times New Roman"/>
          <w:b/>
          <w:sz w:val="14"/>
          <w:szCs w:val="14"/>
        </w:rPr>
        <w:t>иамин)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н</w:t>
      </w:r>
      <w:r w:rsidR="008A3C40" w:rsidRPr="00965395">
        <w:rPr>
          <w:rFonts w:ascii="Times New Roman" w:eastAsiaTheme="minorHAnsi" w:hAnsi="Times New Roman" w:cs="Times New Roman"/>
          <w:sz w:val="14"/>
          <w:szCs w:val="14"/>
        </w:rPr>
        <w:t>ормализует внутриглазное давление, улучшает состояние зрачка и трансляцию нервных импульсов от голов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>ного мозга к зрительной системе.</w:t>
      </w:r>
      <w:r w:rsidR="00681B02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>В офтальмологии витамин В</w:t>
      </w:r>
      <w:proofErr w:type="gramStart"/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>1</w:t>
      </w:r>
      <w:proofErr w:type="gramEnd"/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 xml:space="preserve"> назначается в составе комплексного лечения различной патологии зрительного нерва. Оптическая нейропатия, воспалительные заболевания зрительного нерва (</w:t>
      </w:r>
      <w:proofErr w:type="spellStart"/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>интрабульбарный</w:t>
      </w:r>
      <w:proofErr w:type="spellEnd"/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 xml:space="preserve"> и ретробульбарный невриты) являются показаниями для назначения витамина В</w:t>
      </w:r>
      <w:proofErr w:type="gramStart"/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>1</w:t>
      </w:r>
      <w:proofErr w:type="gramEnd"/>
      <w:r w:rsidR="00681B02"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2D9F9D44" w14:textId="7F015175" w:rsidR="00681B02" w:rsidRPr="00965395" w:rsidRDefault="007A412F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 В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2</w:t>
      </w:r>
      <w:proofErr w:type="gramEnd"/>
      <w:r w:rsidR="001B336B"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или рибофлавин</w:t>
      </w:r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 xml:space="preserve">, требуется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для нормального кровообращения</w:t>
      </w:r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 xml:space="preserve">, обеспечивает поступление с током крови питательных веществ, а также помогает различать цвета. </w:t>
      </w:r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Рибофлавин вместе с витамином</w:t>
      </w:r>
      <w:proofErr w:type="gramStart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А</w:t>
      </w:r>
      <w:proofErr w:type="gramEnd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необходим для процессов фоторецепции (участвует в построении зрительного пурпура), защищает сетчатку глаза от избыточного воздействия ультрафиолетовых лучей, обеспечивает нормальное зрение – остроту восприятия цвета и света, </w:t>
      </w:r>
      <w:proofErr w:type="spellStart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темновую</w:t>
      </w:r>
      <w:proofErr w:type="spellEnd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адаптацию.</w:t>
      </w:r>
      <w:r w:rsidR="008A3C40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8A3C40" w:rsidRPr="00965395">
        <w:rPr>
          <w:rFonts w:ascii="Times New Roman" w:eastAsiaTheme="minorHAnsi" w:hAnsi="Times New Roman" w:cs="Times New Roman"/>
          <w:sz w:val="14"/>
          <w:szCs w:val="14"/>
        </w:rPr>
        <w:t>Укрепляет капиллярную сетку глаза, улучшает работоспособность зрачка, а также препятствует развитию глаукомы и катаракты</w:t>
      </w:r>
      <w:r w:rsidR="003B4201"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53B73DC1" w14:textId="18E4173C" w:rsidR="0035366A" w:rsidRPr="00965395" w:rsidRDefault="0035366A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 В5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важен для нормального обмена веществ, функционирования нервной системы. В офтальмологии рекомендуется при невритах зрительного нерва,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халязионе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6FF93A9C" w14:textId="6AC7001C" w:rsidR="0035366A" w:rsidRPr="00965395" w:rsidRDefault="001B336B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 В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6</w:t>
      </w:r>
      <w:proofErr w:type="gramEnd"/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в организме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отвечает за передачу нервных импульсов и кровообращение.</w:t>
      </w:r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proofErr w:type="gramStart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Необходим</w:t>
      </w:r>
      <w:proofErr w:type="gramEnd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для нормального кроветворения, функционирования центральной и периферической нервной системы, принимает участие в обмене белков, углеводов и жиров.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Витамин В</w:t>
      </w:r>
      <w:proofErr w:type="gramStart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6</w:t>
      </w:r>
      <w:proofErr w:type="gramEnd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можно использовать в курсе терапии при возрастной </w:t>
      </w:r>
      <w:proofErr w:type="spellStart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макулярной</w:t>
      </w:r>
      <w:proofErr w:type="spellEnd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дистрофии, дистрофиях сетчатки, глаукоме.</w:t>
      </w:r>
    </w:p>
    <w:p w14:paraId="22BAA0F6" w14:textId="55147640" w:rsidR="00082D45" w:rsidRPr="00965395" w:rsidRDefault="007A412F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Витамин </w:t>
      </w:r>
      <w:r w:rsidR="00082D45" w:rsidRPr="00965395">
        <w:rPr>
          <w:rFonts w:ascii="Times New Roman" w:eastAsiaTheme="minorHAnsi" w:hAnsi="Times New Roman" w:cs="Times New Roman"/>
          <w:b/>
          <w:sz w:val="14"/>
          <w:szCs w:val="14"/>
        </w:rPr>
        <w:t>В</w:t>
      </w:r>
      <w:proofErr w:type="gramStart"/>
      <w:r w:rsidR="00082D45" w:rsidRPr="00965395">
        <w:rPr>
          <w:rFonts w:ascii="Times New Roman" w:eastAsiaTheme="minorHAnsi" w:hAnsi="Times New Roman" w:cs="Times New Roman"/>
          <w:b/>
          <w:sz w:val="14"/>
          <w:szCs w:val="14"/>
        </w:rPr>
        <w:t>7</w:t>
      </w:r>
      <w:proofErr w:type="gramEnd"/>
      <w:r w:rsidR="00082D45"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(биотин)</w:t>
      </w:r>
      <w:r w:rsidR="005E042F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играет важнейшую роль для метаболизма. Витамин регулирует состояние нервной системы. 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 xml:space="preserve">Биотин участвует в расщеплении белков, 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lastRenderedPageBreak/>
        <w:t>жиров, углеводов, регулирует секрецию инсулина и стабилизирует уровень сахара в крови.</w:t>
      </w:r>
      <w:r w:rsidR="005E042F" w:rsidRPr="00965395">
        <w:rPr>
          <w:rFonts w:ascii="Times New Roman" w:eastAsiaTheme="minorHAnsi" w:hAnsi="Times New Roman" w:cs="Times New Roman"/>
          <w:sz w:val="14"/>
          <w:szCs w:val="14"/>
        </w:rPr>
        <w:t xml:space="preserve"> При его дефиците возникает сухость глаз.</w:t>
      </w:r>
    </w:p>
    <w:p w14:paraId="2B08D55F" w14:textId="7799B38F" w:rsidR="0035366A" w:rsidRPr="00965395" w:rsidRDefault="007A412F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 В12 (</w:t>
      </w:r>
      <w:proofErr w:type="spell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ц</w:t>
      </w:r>
      <w:r w:rsidR="008A3C40" w:rsidRPr="00965395">
        <w:rPr>
          <w:rFonts w:ascii="Times New Roman" w:eastAsiaTheme="minorHAnsi" w:hAnsi="Times New Roman" w:cs="Times New Roman"/>
          <w:b/>
          <w:sz w:val="14"/>
          <w:szCs w:val="14"/>
        </w:rPr>
        <w:t>ианокобаламин</w:t>
      </w:r>
      <w:proofErr w:type="spellEnd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)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необходим</w:t>
      </w:r>
      <w:r w:rsidR="008A3C40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для нормального кровообращения глаз и стабилизации функционирования нервных волокон. </w:t>
      </w:r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Является важным фактором нормального роста, деления клеток, кроветворения и развития эпителиальных клеток, </w:t>
      </w:r>
      <w:proofErr w:type="gramStart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необходим</w:t>
      </w:r>
      <w:proofErr w:type="gramEnd"/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для метаболизма фолиевой кислоты и синтеза миелина (оболочки, покрывающей нервное волокно).</w:t>
      </w:r>
    </w:p>
    <w:p w14:paraId="41B9BA18" w14:textId="6D2980D5" w:rsidR="008A3C40" w:rsidRPr="00965395" w:rsidRDefault="001B336B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А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укрепляет роговицу, влияет на остроту зрения, особенно в сумерках и темноте, отвечает за нормальное восприятие цвета. 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r w:rsidR="008A3C40" w:rsidRPr="00965395">
        <w:rPr>
          <w:rFonts w:ascii="Times New Roman" w:eastAsiaTheme="minorHAnsi" w:hAnsi="Times New Roman" w:cs="Times New Roman"/>
          <w:sz w:val="14"/>
          <w:szCs w:val="14"/>
        </w:rPr>
        <w:t xml:space="preserve"> обеспечивает правильную работу зрительного анализатора, обеспечивает синтез зрительного пигмента сетчатки, восприятие глазом света. Он укрепляет роговую оболочку, улучшает остроту зрения и отвечает 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>за возможность видеть в темноте.</w:t>
      </w:r>
    </w:p>
    <w:p w14:paraId="73EE99EC" w14:textId="3CF75637" w:rsidR="008A3C40" w:rsidRPr="00965395" w:rsidRDefault="00082D4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Д</w:t>
      </w:r>
      <w:proofErr w:type="gramEnd"/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стимулирует местный иммунитет, помогает 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>предотвратить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распространение воспалительных 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>процессов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. Снижает риск 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>развития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миопии. </w:t>
      </w:r>
      <w:r w:rsidR="008A3C40" w:rsidRPr="00965395">
        <w:rPr>
          <w:rFonts w:ascii="Times New Roman" w:eastAsiaTheme="minorHAnsi" w:hAnsi="Times New Roman" w:cs="Times New Roman"/>
          <w:sz w:val="14"/>
          <w:szCs w:val="14"/>
        </w:rPr>
        <w:t xml:space="preserve">Дефицит витамина D, кальциферола – причина повышенного риска возникновения близорукости, неблагоприятного 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>течения катаракты</w:t>
      </w:r>
      <w:r w:rsidR="008A3C40"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  <w:r w:rsidR="00E44ACA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 xml:space="preserve">Витамин D продемонстрировал протекторные свойства при </w:t>
      </w:r>
      <w:proofErr w:type="spellStart"/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>макулярной</w:t>
      </w:r>
      <w:proofErr w:type="spellEnd"/>
      <w:r w:rsidR="00E44AC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дегенерации из-за его противовоспалительных эффектов.</w:t>
      </w:r>
    </w:p>
    <w:p w14:paraId="0C88EC43" w14:textId="2D67D657" w:rsidR="008A3C40" w:rsidRPr="00965395" w:rsidRDefault="008A3C40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Е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– участник метаболизма клеток, белкового обмена, является антиоксидантом. Способствует благоприятному влиянию на сетчатку глаза.</w:t>
      </w:r>
      <w:r w:rsidR="001B336B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 xml:space="preserve"> Е</w:t>
      </w:r>
      <w:proofErr w:type="gramEnd"/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 xml:space="preserve"> улучшает проводимость стенок капилляров, обеспечивая лучшее питание тканей.</w:t>
      </w:r>
    </w:p>
    <w:p w14:paraId="076F105E" w14:textId="1E49DB97" w:rsidR="008A3C40" w:rsidRPr="00965395" w:rsidRDefault="008A3C40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Витамин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С</w:t>
      </w:r>
      <w:proofErr w:type="gramEnd"/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является антиоксидантом, который помогает сохранить активность глазодвигательных мышц,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 зрительного нерва и поддержание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необходимой концентрации коллагена в оптических структурах глаза.</w:t>
      </w:r>
      <w:r w:rsidR="001B336B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 xml:space="preserve"> С</w:t>
      </w:r>
      <w:proofErr w:type="gramEnd"/>
      <w:r w:rsidR="001B336B" w:rsidRPr="00965395">
        <w:rPr>
          <w:rFonts w:ascii="Times New Roman" w:eastAsiaTheme="minorHAnsi" w:hAnsi="Times New Roman" w:cs="Times New Roman"/>
          <w:sz w:val="14"/>
          <w:szCs w:val="14"/>
        </w:rPr>
        <w:t xml:space="preserve"> для глаз необходим, поскольку укрепляет стенки сосудов, что в свою очередь нормализует внутриглазное давление.</w:t>
      </w:r>
    </w:p>
    <w:p w14:paraId="4101EDE8" w14:textId="502A8470" w:rsidR="0035366A" w:rsidRPr="00965395" w:rsidRDefault="007A412F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Витамин </w:t>
      </w:r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Р</w:t>
      </w:r>
      <w:proofErr w:type="gramEnd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(р</w:t>
      </w:r>
      <w:r w:rsidR="0035366A" w:rsidRPr="00965395">
        <w:rPr>
          <w:rFonts w:ascii="Times New Roman" w:eastAsiaTheme="minorHAnsi" w:hAnsi="Times New Roman" w:cs="Times New Roman"/>
          <w:b/>
          <w:sz w:val="14"/>
          <w:szCs w:val="14"/>
        </w:rPr>
        <w:t>утин</w:t>
      </w: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)</w:t>
      </w:r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>обладает выраженным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и </w:t>
      </w:r>
      <w:proofErr w:type="spellStart"/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>ангиопротекторными</w:t>
      </w:r>
      <w:proofErr w:type="spellEnd"/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 свойствами, укрепляе</w:t>
      </w:r>
      <w:r w:rsidR="0035366A" w:rsidRPr="00965395">
        <w:rPr>
          <w:rFonts w:ascii="Times New Roman" w:eastAsiaTheme="minorHAnsi" w:hAnsi="Times New Roman" w:cs="Times New Roman"/>
          <w:sz w:val="14"/>
          <w:szCs w:val="14"/>
        </w:rPr>
        <w:t>т стенки сосудов, предотвращая внутриглазные кровоизлияния.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 xml:space="preserve"> Снижает риск ра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з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 xml:space="preserve">вития миопии. </w:t>
      </w:r>
    </w:p>
    <w:p w14:paraId="383BDA55" w14:textId="044F53BC" w:rsidR="00A2002C" w:rsidRPr="00965395" w:rsidRDefault="00A2002C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proofErr w:type="spell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Ликопин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относится к группе каротиноидов, являясь неспецифическим антиоксидантом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>,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замедляет перекисные процессы тканей, и в хрусталике, в том числе. 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>Поддерживает э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>ластичность и прочность сосудов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 xml:space="preserve">, снимает напряжение при усталости глаз.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Клинические исследования выявили обратную зависимость содержания в крови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ликопина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и риска развития катаракты.</w:t>
      </w:r>
    </w:p>
    <w:p w14:paraId="3BC48EC9" w14:textId="7C284B24" w:rsidR="00A2002C" w:rsidRPr="00965395" w:rsidRDefault="00E44ACA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Таурин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– аминокислота, принимающая участие в передаче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фотосигналов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. Таурин 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улучшает оксигенацию и стимулирует обменные процессы в тканях глаза, предотвращает утомление глаз после зрительных нагрузок (вождение автотранспорта, чтение) и возрастные изменения (дистрофия сетчатки, катаракта). Также он уменьшает губительное действие солнечного ультрафиолета на сетчатку.</w:t>
      </w:r>
    </w:p>
    <w:p w14:paraId="4B032129" w14:textId="57B88989" w:rsidR="008A3C40" w:rsidRPr="00965395" w:rsidRDefault="008A3C40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Кальций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необходим для укрепления тканей глаза и является незаменимым элементом при близорукости.</w:t>
      </w:r>
    </w:p>
    <w:p w14:paraId="3AD1FF8F" w14:textId="4DB4F841" w:rsidR="00A2002C" w:rsidRPr="00965395" w:rsidRDefault="00664B50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hAnsi="Times New Roman" w:cs="Times New Roman"/>
          <w:noProof/>
          <w:sz w:val="14"/>
          <w:szCs w:val="14"/>
          <w:lang w:eastAsia="ru-RU"/>
        </w:rPr>
        <w:drawing>
          <wp:anchor distT="0" distB="0" distL="114300" distR="114300" simplePos="0" relativeHeight="251661312" behindDoc="1" locked="0" layoutInCell="1" allowOverlap="1" wp14:anchorId="027F7644" wp14:editId="6F38151A">
            <wp:simplePos x="0" y="0"/>
            <wp:positionH relativeFrom="column">
              <wp:posOffset>-1169882</wp:posOffset>
            </wp:positionH>
            <wp:positionV relativeFrom="paragraph">
              <wp:posOffset>422275</wp:posOffset>
            </wp:positionV>
            <wp:extent cx="5529385" cy="3762421"/>
            <wp:effectExtent l="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019461">
                      <a:off x="0" y="0"/>
                      <a:ext cx="5529385" cy="376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02C"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Цинк  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 xml:space="preserve">необходим для поддержания составляющих структур зрительного нерва. В сетчатой оболочке цинк в основном локализуется в фоторецепторах, а также в пигментном эпителии, </w:t>
      </w:r>
      <w:proofErr w:type="gramStart"/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выполняя роль</w:t>
      </w:r>
      <w:proofErr w:type="gramEnd"/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 xml:space="preserve"> модулятора синаптической трансмиссии, кроме того он включен в состав </w:t>
      </w:r>
      <w:proofErr w:type="spellStart"/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металлопротеиназ</w:t>
      </w:r>
      <w:proofErr w:type="spellEnd"/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 xml:space="preserve">. Цинк подавляет активность </w:t>
      </w:r>
      <w:proofErr w:type="spellStart"/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карбангидразы</w:t>
      </w:r>
      <w:proofErr w:type="spellEnd"/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 xml:space="preserve"> – фермента, который участвует в выработке водянистой влаги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 камер глаза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. Именно поэтому, соли цинка используют при глаукоме для снижения внутриглазного давления.</w:t>
      </w:r>
      <w:r w:rsidR="00A2002C" w:rsidRPr="00965395">
        <w:rPr>
          <w:rFonts w:ascii="Times New Roman" w:hAnsi="Times New Roman" w:cs="Times New Roman"/>
          <w:sz w:val="14"/>
          <w:szCs w:val="14"/>
        </w:rPr>
        <w:t xml:space="preserve"> 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В небольшом количестве цинк снижает ишемию сетчатки.</w:t>
      </w:r>
    </w:p>
    <w:p w14:paraId="17929286" w14:textId="6C6591EF" w:rsidR="00A2002C" w:rsidRPr="00965395" w:rsidRDefault="00A2002C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Селен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 является одним из компонентов, участвующих в превращении светового сигнала, воспринимаемого глазом, в нервный импульс. Это антиоксидант, дефицит которого, может вызывать помутнение хрусталика глаза.</w:t>
      </w:r>
    </w:p>
    <w:p w14:paraId="59EA2FE8" w14:textId="6A049AD6" w:rsidR="00681B02" w:rsidRPr="00965395" w:rsidRDefault="0045716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Хром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принимает активное участие в работе нейронов сетчатки, отвечающих за свето- и цветоощущения. Недостаточность хрома может усугубить проблемы со зрением, 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участвует в процессе регулирования внутриглазного давления  и стимулирует транспортировку глюкозы к кристаллику  глаза в сочетании с витамином  С.</w:t>
      </w:r>
    </w:p>
    <w:p w14:paraId="7A61B080" w14:textId="2B6D6EBA" w:rsidR="00A2002C" w:rsidRPr="00965395" w:rsidRDefault="00EA0A57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proofErr w:type="spellStart"/>
      <w:proofErr w:type="gramStart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M</w:t>
      </w:r>
      <w:proofErr w:type="gramEnd"/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агний</w:t>
      </w:r>
      <w:proofErr w:type="spellEnd"/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 xml:space="preserve"> необходим как для защиты нейрональных элементов сетчатки и зрительного нерва от дегенеративных процессов, характерных для глаукомного поражения, так и для регуляции метаболизма патологически измененных соединит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ельнотканных структур 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 xml:space="preserve"> глаз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при глаукоме</w:t>
      </w:r>
      <w:r w:rsidR="00A2002C"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71F85D36" w14:textId="46B4342B" w:rsidR="00457165" w:rsidRPr="00965395" w:rsidRDefault="0045716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Калий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один из важнейших микроэлементов для поддержания хорошего зрения. Он в значительной степени улучшает кровоснабжение органов зрения. Тем самым предотвращая их старение и слабость.</w:t>
      </w:r>
    </w:p>
    <w:p w14:paraId="0A422B58" w14:textId="203D9543" w:rsidR="00457165" w:rsidRPr="00965395" w:rsidRDefault="007A412F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Марганец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-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д</w:t>
      </w:r>
      <w:r w:rsidR="00457165" w:rsidRPr="00965395">
        <w:rPr>
          <w:rFonts w:ascii="Times New Roman" w:eastAsiaTheme="minorHAnsi" w:hAnsi="Times New Roman" w:cs="Times New Roman"/>
          <w:sz w:val="14"/>
          <w:szCs w:val="14"/>
        </w:rPr>
        <w:t>ефицит марганца отмечают при многих нарушениях зрения: снижение остроты зрения, ночная слепота, катаракта, ретинопатия.</w:t>
      </w:r>
    </w:p>
    <w:p w14:paraId="2882D296" w14:textId="23043FDB" w:rsidR="00457165" w:rsidRPr="00965395" w:rsidRDefault="0045716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Медь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- </w:t>
      </w:r>
      <w:r w:rsidR="007A412F" w:rsidRPr="00965395">
        <w:rPr>
          <w:rFonts w:ascii="Times New Roman" w:eastAsiaTheme="minorHAnsi" w:hAnsi="Times New Roman" w:cs="Times New Roman"/>
          <w:sz w:val="14"/>
          <w:szCs w:val="14"/>
        </w:rPr>
        <w:t>а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 xml:space="preserve">нтиоксидант,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обладает способностью бороться со свободными радикалами, участвует в укреплении иммунитета и здоровье сетчатки глаза. Данный микроэлемент важен для людей с нарушением зрения на фоне сахарного диабета.</w:t>
      </w:r>
    </w:p>
    <w:p w14:paraId="166537D9" w14:textId="1BD4F971" w:rsidR="00457165" w:rsidRPr="00965395" w:rsidRDefault="0045716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Фосфор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принимает активное участие в процессе усвоения витаминов</w:t>
      </w:r>
      <w:r w:rsidR="00BD30B0" w:rsidRPr="00965395">
        <w:rPr>
          <w:rFonts w:ascii="Times New Roman" w:eastAsiaTheme="minorHAnsi" w:hAnsi="Times New Roman" w:cs="Times New Roman"/>
          <w:sz w:val="14"/>
          <w:szCs w:val="14"/>
        </w:rPr>
        <w:t>,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которые вл</w:t>
      </w:r>
      <w:r w:rsidR="00C01CE1" w:rsidRPr="00965395">
        <w:rPr>
          <w:rFonts w:ascii="Times New Roman" w:eastAsiaTheme="minorHAnsi" w:hAnsi="Times New Roman" w:cs="Times New Roman"/>
          <w:sz w:val="14"/>
          <w:szCs w:val="14"/>
        </w:rPr>
        <w:t>ияют на зрение, и преобразования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пищи в жизненную энергию.</w:t>
      </w:r>
    </w:p>
    <w:p w14:paraId="61C64995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Показания к применению:</w:t>
      </w:r>
    </w:p>
    <w:p w14:paraId="0BA0FEFE" w14:textId="77D836B1" w:rsidR="00E2581A" w:rsidRPr="00965395" w:rsidRDefault="00E44ACA" w:rsidP="00E2581A">
      <w:pPr>
        <w:pStyle w:val="a5"/>
        <w:numPr>
          <w:ilvl w:val="0"/>
          <w:numId w:val="2"/>
        </w:numPr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 комплексной терапии снижения остроты зрения при повышенных зрительных нагрузках (компьютерный зрительный синдром, длительное пребывание в условиях яркого солнечног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>о освещения, водителям с целью снижения негативного эффекта ослепления встречными фарами при вождении в ночное время или при вождении транспортных сред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>ств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>);</w:t>
      </w:r>
    </w:p>
    <w:p w14:paraId="040B6B55" w14:textId="77777777" w:rsidR="00E2581A" w:rsidRPr="00965395" w:rsidRDefault="00E44ACA" w:rsidP="00E2581A">
      <w:pPr>
        <w:pStyle w:val="a5"/>
        <w:numPr>
          <w:ilvl w:val="0"/>
          <w:numId w:val="2"/>
        </w:numPr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 комплексной терапии сосудистых патологий глаз у пациентов старше 50 лет (катаракта, глаукома, дистрофические изменения в сетчатке);</w:t>
      </w:r>
    </w:p>
    <w:p w14:paraId="7590000D" w14:textId="27E1E535" w:rsidR="00E44ACA" w:rsidRPr="00965395" w:rsidRDefault="00E44ACA" w:rsidP="00E2581A">
      <w:pPr>
        <w:pStyle w:val="a5"/>
        <w:numPr>
          <w:ilvl w:val="0"/>
          <w:numId w:val="2"/>
        </w:numPr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при нарушении сумереч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>ного зрения («куриная слепота»);</w:t>
      </w:r>
    </w:p>
    <w:p w14:paraId="50B714B2" w14:textId="6992506E" w:rsidR="008B0F95" w:rsidRPr="00965395" w:rsidRDefault="008B0F95" w:rsidP="00E2581A">
      <w:pPr>
        <w:pStyle w:val="a5"/>
        <w:widowControl/>
        <w:numPr>
          <w:ilvl w:val="0"/>
          <w:numId w:val="2"/>
        </w:numPr>
        <w:adjustRightInd w:val="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зрительное утомление (усталость и боль в глазах) при чтении, ношении контактных линз, работе с компьютером, при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искусственном освещении;</w:t>
      </w:r>
    </w:p>
    <w:p w14:paraId="0F46A891" w14:textId="5948174D" w:rsidR="00E2581A" w:rsidRPr="00965395" w:rsidRDefault="00EA0A57" w:rsidP="00E2581A">
      <w:pPr>
        <w:pStyle w:val="a5"/>
        <w:widowControl/>
        <w:numPr>
          <w:ilvl w:val="0"/>
          <w:numId w:val="2"/>
        </w:numPr>
        <w:adjustRightInd w:val="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близорукость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(для снижения риска осложнений миопии);</w:t>
      </w:r>
    </w:p>
    <w:p w14:paraId="4B1AB035" w14:textId="0F0C8F31" w:rsidR="00E2581A" w:rsidRPr="00965395" w:rsidRDefault="00EA0A57" w:rsidP="00E2581A">
      <w:pPr>
        <w:pStyle w:val="a5"/>
        <w:widowControl/>
        <w:numPr>
          <w:ilvl w:val="0"/>
          <w:numId w:val="2"/>
        </w:numPr>
        <w:adjustRightInd w:val="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проживание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в районах с повышенной инсоляцией;</w:t>
      </w:r>
    </w:p>
    <w:p w14:paraId="59E6CA87" w14:textId="1744BDF0" w:rsidR="00E2581A" w:rsidRPr="00965395" w:rsidRDefault="00EA0A57" w:rsidP="00E2581A">
      <w:pPr>
        <w:pStyle w:val="a5"/>
        <w:widowControl/>
        <w:numPr>
          <w:ilvl w:val="0"/>
          <w:numId w:val="2"/>
        </w:numPr>
        <w:adjustRightInd w:val="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работа, связанная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с воздействием яркого света (сварка, софиты).</w:t>
      </w:r>
    </w:p>
    <w:p w14:paraId="4F6C107C" w14:textId="77777777" w:rsidR="00965395" w:rsidRDefault="009653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</w:p>
    <w:p w14:paraId="7FC153B6" w14:textId="77777777" w:rsidR="00965395" w:rsidRDefault="009653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</w:p>
    <w:p w14:paraId="1AA1C32A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lastRenderedPageBreak/>
        <w:t>Противопоказания:</w:t>
      </w:r>
    </w:p>
    <w:p w14:paraId="4AC8D535" w14:textId="31FE44B9" w:rsidR="008B0F95" w:rsidRPr="00965395" w:rsidRDefault="008B0F95" w:rsidP="00E2581A">
      <w:pPr>
        <w:pStyle w:val="a5"/>
        <w:widowControl/>
        <w:numPr>
          <w:ilvl w:val="0"/>
          <w:numId w:val="3"/>
        </w:numPr>
        <w:adjustRightInd w:val="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гиперчувствительность к компонентам препарата;</w:t>
      </w:r>
    </w:p>
    <w:p w14:paraId="15A83FE0" w14:textId="473C68AA" w:rsidR="008B0F95" w:rsidRPr="00965395" w:rsidRDefault="008B0F95" w:rsidP="00E2581A">
      <w:pPr>
        <w:pStyle w:val="a5"/>
        <w:widowControl/>
        <w:numPr>
          <w:ilvl w:val="0"/>
          <w:numId w:val="3"/>
        </w:numPr>
        <w:adjustRightInd w:val="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дети младше 12 лет.</w:t>
      </w:r>
    </w:p>
    <w:p w14:paraId="15F216DB" w14:textId="3AA8E1F2" w:rsidR="008B0F95" w:rsidRPr="00965395" w:rsidRDefault="008B0F9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i/>
          <w:sz w:val="14"/>
          <w:szCs w:val="14"/>
        </w:rPr>
        <w:t>Беременность и период лактации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: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 применение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препарата </w:t>
      </w:r>
      <w:proofErr w:type="spellStart"/>
      <w:r w:rsidR="00714738" w:rsidRPr="00965395">
        <w:rPr>
          <w:rFonts w:ascii="Times New Roman" w:eastAsiaTheme="minorHAnsi" w:hAnsi="Times New Roman" w:cs="Times New Roman"/>
          <w:sz w:val="14"/>
          <w:szCs w:val="14"/>
        </w:rPr>
        <w:t>Оптимакс</w:t>
      </w:r>
      <w:proofErr w:type="spellEnd"/>
      <w:r w:rsidR="00714738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proofErr w:type="spellStart"/>
      <w:r w:rsidRPr="00965395">
        <w:rPr>
          <w:rFonts w:ascii="Times New Roman" w:eastAsiaTheme="minorHAnsi" w:hAnsi="Times New Roman" w:cs="Times New Roman"/>
          <w:sz w:val="14"/>
          <w:szCs w:val="14"/>
        </w:rPr>
        <w:t>Лютеин</w:t>
      </w:r>
      <w:proofErr w:type="spellEnd"/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при беременности и в период лактации не рекомендуется.</w:t>
      </w:r>
    </w:p>
    <w:p w14:paraId="03638DAE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Способ применения и дозы:</w:t>
      </w:r>
    </w:p>
    <w:p w14:paraId="1D3EEF94" w14:textId="2E1D51EE" w:rsidR="008B0F95" w:rsidRPr="00965395" w:rsidRDefault="008B0F95" w:rsidP="001E5A25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Взрослым и детям старше 12 лет препарат назначают по 1 таблетке </w:t>
      </w:r>
      <w:r w:rsidR="00082D45" w:rsidRPr="00965395">
        <w:rPr>
          <w:rFonts w:ascii="Times New Roman" w:eastAsiaTheme="minorHAnsi" w:hAnsi="Times New Roman" w:cs="Times New Roman"/>
          <w:sz w:val="14"/>
          <w:szCs w:val="14"/>
        </w:rPr>
        <w:t xml:space="preserve">1 раз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в день</w:t>
      </w:r>
      <w:r w:rsidR="00965395" w:rsidRPr="00965395">
        <w:rPr>
          <w:rFonts w:ascii="Times New Roman" w:eastAsiaTheme="minorHAnsi" w:hAnsi="Times New Roman" w:cs="Times New Roman"/>
          <w:sz w:val="14"/>
          <w:szCs w:val="14"/>
        </w:rPr>
        <w:t>,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 после еды</w:t>
      </w:r>
      <w:r w:rsidR="00965395" w:rsidRPr="00965395">
        <w:rPr>
          <w:rFonts w:ascii="Times New Roman" w:eastAsiaTheme="minorHAnsi" w:hAnsi="Times New Roman" w:cs="Times New Roman"/>
          <w:sz w:val="14"/>
          <w:szCs w:val="14"/>
        </w:rPr>
        <w:t>,</w:t>
      </w:r>
      <w:r w:rsidR="00EA0A57" w:rsidRPr="00965395">
        <w:rPr>
          <w:rFonts w:ascii="Times New Roman" w:eastAsiaTheme="minorHAnsi" w:hAnsi="Times New Roman" w:cs="Times New Roman"/>
          <w:sz w:val="14"/>
          <w:szCs w:val="14"/>
        </w:rPr>
        <w:t xml:space="preserve"> утром или днем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.</w:t>
      </w:r>
    </w:p>
    <w:p w14:paraId="1279D06B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Минимальный курс лечения составляет 3 месяца.</w:t>
      </w:r>
    </w:p>
    <w:p w14:paraId="663D4F91" w14:textId="6C4701DD" w:rsidR="008B0F95" w:rsidRPr="00965395" w:rsidRDefault="00336D1C" w:rsidP="00336D1C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Повторные курсы </w:t>
      </w:r>
      <w:r w:rsidR="008B0F95" w:rsidRPr="00965395">
        <w:rPr>
          <w:rFonts w:ascii="Times New Roman" w:eastAsiaTheme="minorHAnsi" w:hAnsi="Times New Roman" w:cs="Times New Roman"/>
          <w:sz w:val="14"/>
          <w:szCs w:val="14"/>
        </w:rPr>
        <w:t xml:space="preserve"> по рекомендации врача.</w:t>
      </w:r>
    </w:p>
    <w:p w14:paraId="59225E71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Побочные действия:</w:t>
      </w:r>
    </w:p>
    <w:p w14:paraId="168DFD0E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Возможно возникновение аллергических реакций.</w:t>
      </w:r>
    </w:p>
    <w:p w14:paraId="6031BA0E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Передозировка:</w:t>
      </w:r>
    </w:p>
    <w:p w14:paraId="6EBB9F39" w14:textId="77777777" w:rsidR="008B0F95" w:rsidRPr="00965395" w:rsidRDefault="008B0F95" w:rsidP="00B969D4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i/>
          <w:sz w:val="14"/>
          <w:szCs w:val="14"/>
        </w:rPr>
        <w:t>Симптомы: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тошнота, слабость, желудочно-кишечные расстройства. В случае передозировки пациент должен обратиться к врачу.</w:t>
      </w:r>
    </w:p>
    <w:p w14:paraId="2ED83C61" w14:textId="77777777" w:rsidR="008B0F95" w:rsidRPr="00965395" w:rsidRDefault="008B0F95" w:rsidP="00B969D4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i/>
          <w:sz w:val="14"/>
          <w:szCs w:val="14"/>
        </w:rPr>
        <w:t>Лечение: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 прием активированного угля внутрь, промывание желудка, проведение симптоматической терапии.</w:t>
      </w:r>
    </w:p>
    <w:p w14:paraId="389113A8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Взаимодействие с другими лекарственными средствами:</w:t>
      </w:r>
    </w:p>
    <w:p w14:paraId="4AD4E398" w14:textId="7B1F59EB" w:rsidR="008B0F95" w:rsidRPr="00965395" w:rsidRDefault="008B0F95" w:rsidP="00B23D80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Во избежание возникновения нежелательных эффектов не рекомендуется одновременный прием с другими витаминно-минеральными препаратами.</w:t>
      </w:r>
    </w:p>
    <w:p w14:paraId="642C1CC7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bCs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Особые указания:</w:t>
      </w:r>
    </w:p>
    <w:p w14:paraId="0B58E0FA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Не следует превышать рекомендуемую дозу.</w:t>
      </w:r>
    </w:p>
    <w:p w14:paraId="15FA28AC" w14:textId="6E1D188C" w:rsidR="008B0F95" w:rsidRPr="00965395" w:rsidRDefault="008B0F95" w:rsidP="00E2581A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При применении препарата возможно окрашивание мочи в интенсивный желтый цвет, что обусловлено наличием рибофлавина в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составе препарата и не имеет клинического значения.</w:t>
      </w:r>
    </w:p>
    <w:p w14:paraId="763895DD" w14:textId="0BBCA019" w:rsidR="008B0F95" w:rsidRPr="00965395" w:rsidRDefault="008B0F95" w:rsidP="00E2581A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Препарат содержит </w:t>
      </w:r>
      <w:r w:rsidR="00BD30B0" w:rsidRPr="00965395">
        <w:rPr>
          <w:rFonts w:ascii="Times New Roman" w:eastAsiaTheme="minorHAnsi" w:hAnsi="Times New Roman" w:cs="Times New Roman"/>
          <w:sz w:val="14"/>
          <w:szCs w:val="14"/>
        </w:rPr>
        <w:t>витамин</w:t>
      </w:r>
      <w:proofErr w:type="gramStart"/>
      <w:r w:rsidR="00BD30B0" w:rsidRPr="00965395">
        <w:rPr>
          <w:rFonts w:ascii="Times New Roman" w:eastAsiaTheme="minorHAnsi" w:hAnsi="Times New Roman" w:cs="Times New Roman"/>
          <w:sz w:val="14"/>
          <w:szCs w:val="14"/>
        </w:rPr>
        <w:t xml:space="preserve"> А</w:t>
      </w:r>
      <w:proofErr w:type="gramEnd"/>
      <w:r w:rsidRPr="00965395">
        <w:rPr>
          <w:rFonts w:ascii="Times New Roman" w:eastAsiaTheme="minorHAnsi" w:hAnsi="Times New Roman" w:cs="Times New Roman"/>
          <w:sz w:val="14"/>
          <w:szCs w:val="14"/>
        </w:rPr>
        <w:t>, поэтому его не следует принимать курильщикам и лицам употребляющим большое количество</w:t>
      </w:r>
      <w:r w:rsidR="00E2581A" w:rsidRPr="00965395">
        <w:rPr>
          <w:rFonts w:ascii="Times New Roman" w:eastAsiaTheme="minorHAnsi" w:hAnsi="Times New Roman" w:cs="Times New Roman"/>
          <w:sz w:val="14"/>
          <w:szCs w:val="14"/>
        </w:rPr>
        <w:t xml:space="preserve"> 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>алкоголя.</w:t>
      </w:r>
    </w:p>
    <w:p w14:paraId="6FBD98F3" w14:textId="77777777" w:rsid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sz w:val="14"/>
          <w:szCs w:val="14"/>
        </w:rPr>
        <w:t>Влияние на способность к вождению автотран</w:t>
      </w:r>
      <w:r w:rsidR="00E2581A" w:rsidRP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спорта и управлению </w:t>
      </w:r>
      <w:r w:rsidR="00965395">
        <w:rPr>
          <w:rFonts w:ascii="Times New Roman" w:eastAsiaTheme="minorHAnsi" w:hAnsi="Times New Roman" w:cs="Times New Roman"/>
          <w:b/>
          <w:sz w:val="14"/>
          <w:szCs w:val="14"/>
        </w:rPr>
        <w:t xml:space="preserve">  </w:t>
      </w:r>
    </w:p>
    <w:p w14:paraId="73DA4554" w14:textId="0E51F524" w:rsidR="008B0F95" w:rsidRPr="00965395" w:rsidRDefault="009653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sz w:val="14"/>
          <w:szCs w:val="14"/>
        </w:rPr>
      </w:pPr>
      <w:r>
        <w:rPr>
          <w:rFonts w:ascii="Times New Roman" w:eastAsiaTheme="minorHAnsi" w:hAnsi="Times New Roman" w:cs="Times New Roman"/>
          <w:b/>
          <w:sz w:val="14"/>
          <w:szCs w:val="14"/>
        </w:rPr>
        <w:t>механизмами</w:t>
      </w:r>
      <w:r w:rsidR="00E2581A" w:rsidRPr="00965395">
        <w:rPr>
          <w:rFonts w:ascii="Times New Roman" w:eastAsiaTheme="minorHAnsi" w:hAnsi="Times New Roman" w:cs="Times New Roman"/>
          <w:b/>
          <w:sz w:val="14"/>
          <w:szCs w:val="14"/>
        </w:rPr>
        <w:t>:</w:t>
      </w:r>
    </w:p>
    <w:p w14:paraId="17A2A613" w14:textId="77777777" w:rsidR="008B0F95" w:rsidRPr="00965395" w:rsidRDefault="008B0F95" w:rsidP="00B969D4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Препарат не оказывает влияния на способность к вождению автомобиля и управлению другими механизмами.</w:t>
      </w:r>
    </w:p>
    <w:p w14:paraId="55C9D26F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bCs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Форма выпуска:</w:t>
      </w:r>
    </w:p>
    <w:p w14:paraId="3A9ADA9F" w14:textId="265A2640" w:rsidR="008B0F95" w:rsidRPr="00965395" w:rsidRDefault="008B0F95" w:rsidP="00B969D4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30 таблеток вместе с инструкцией по применению в картонной упаковке.</w:t>
      </w:r>
    </w:p>
    <w:p w14:paraId="61C1C79F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bCs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Условия хранения:</w:t>
      </w:r>
    </w:p>
    <w:p w14:paraId="23BE4576" w14:textId="19C0D7E9" w:rsidR="00664B50" w:rsidRPr="00965395" w:rsidRDefault="008B0F95" w:rsidP="00B969D4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Хранить в сухом, защищенном от света месте, при температуре не выше 25</w:t>
      </w:r>
      <w:r w:rsidR="00D43A82">
        <w:rPr>
          <w:rFonts w:ascii="Times New Roman" w:eastAsiaTheme="minorHAnsi" w:hAnsi="Times New Roman" w:cs="Times New Roman"/>
          <w:sz w:val="14"/>
          <w:szCs w:val="14"/>
        </w:rPr>
        <w:t xml:space="preserve"> </w:t>
      </w: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°С. </w:t>
      </w:r>
    </w:p>
    <w:p w14:paraId="62141200" w14:textId="308970EF" w:rsidR="008B0F95" w:rsidRPr="00965395" w:rsidRDefault="008B0F95" w:rsidP="00B969D4">
      <w:pPr>
        <w:widowControl/>
        <w:adjustRightInd w:val="0"/>
        <w:ind w:left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Хранить в недоступном для детей месте.</w:t>
      </w:r>
    </w:p>
    <w:p w14:paraId="370371C7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bCs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Срок годности:</w:t>
      </w:r>
    </w:p>
    <w:p w14:paraId="35DCE23E" w14:textId="77777777" w:rsidR="009653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 xml:space="preserve">Указано на упаковке. </w:t>
      </w:r>
    </w:p>
    <w:p w14:paraId="1A30A8BA" w14:textId="75E022A3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Не использовать по истечении срока годности.</w:t>
      </w:r>
    </w:p>
    <w:p w14:paraId="57C59B58" w14:textId="77777777" w:rsidR="008B0F95" w:rsidRPr="00965395" w:rsidRDefault="008B0F95" w:rsidP="00B969D4">
      <w:pPr>
        <w:widowControl/>
        <w:adjustRightInd w:val="0"/>
        <w:ind w:firstLine="180"/>
        <w:rPr>
          <w:rFonts w:ascii="Times New Roman" w:eastAsiaTheme="minorHAnsi" w:hAnsi="Times New Roman" w:cs="Times New Roman"/>
          <w:b/>
          <w:bCs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b/>
          <w:bCs/>
          <w:sz w:val="14"/>
          <w:szCs w:val="14"/>
        </w:rPr>
        <w:t>Условия отпуска:</w:t>
      </w:r>
    </w:p>
    <w:p w14:paraId="2335CD7E" w14:textId="29401AB3" w:rsidR="008562DF" w:rsidRPr="00965395" w:rsidRDefault="008B0F95" w:rsidP="00B969D4">
      <w:pPr>
        <w:pStyle w:val="a3"/>
        <w:ind w:left="0" w:right="2647" w:firstLine="180"/>
        <w:rPr>
          <w:rFonts w:ascii="Times New Roman" w:eastAsiaTheme="minorHAnsi" w:hAnsi="Times New Roman" w:cs="Times New Roman"/>
          <w:sz w:val="14"/>
          <w:szCs w:val="14"/>
        </w:rPr>
      </w:pPr>
      <w:r w:rsidRPr="00965395">
        <w:rPr>
          <w:rFonts w:ascii="Times New Roman" w:eastAsiaTheme="minorHAnsi" w:hAnsi="Times New Roman" w:cs="Times New Roman"/>
          <w:sz w:val="14"/>
          <w:szCs w:val="14"/>
        </w:rPr>
        <w:t>Без рецепта.</w:t>
      </w:r>
    </w:p>
    <w:p w14:paraId="76363862" w14:textId="77777777" w:rsidR="00774B1E" w:rsidRPr="00965395" w:rsidRDefault="00774B1E" w:rsidP="00774B1E">
      <w:pPr>
        <w:pStyle w:val="10"/>
        <w:shd w:val="clear" w:color="auto" w:fill="auto"/>
        <w:ind w:right="-1"/>
        <w:jc w:val="both"/>
        <w:rPr>
          <w:b/>
          <w:color w:val="000000"/>
          <w:sz w:val="14"/>
          <w:szCs w:val="14"/>
          <w:lang w:val="ru-RU"/>
        </w:rPr>
      </w:pPr>
    </w:p>
    <w:p w14:paraId="191DECE8" w14:textId="77777777" w:rsidR="00774B1E" w:rsidRPr="00965395" w:rsidRDefault="00774B1E" w:rsidP="00774B1E">
      <w:pPr>
        <w:adjustRightInd w:val="0"/>
        <w:ind w:left="180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965395">
        <w:rPr>
          <w:rFonts w:ascii="Times New Roman" w:hAnsi="Times New Roman" w:cs="Times New Roman"/>
          <w:b/>
          <w:bCs/>
          <w:sz w:val="14"/>
          <w:szCs w:val="14"/>
        </w:rPr>
        <w:t>Произведено для:</w:t>
      </w:r>
    </w:p>
    <w:p w14:paraId="2C1649F0" w14:textId="77777777" w:rsidR="00774B1E" w:rsidRPr="00965395" w:rsidRDefault="00774B1E" w:rsidP="00774B1E">
      <w:pPr>
        <w:adjustRightInd w:val="0"/>
        <w:ind w:left="180"/>
        <w:jc w:val="both"/>
        <w:rPr>
          <w:rFonts w:ascii="Times New Roman" w:hAnsi="Times New Roman" w:cs="Times New Roman"/>
          <w:sz w:val="14"/>
          <w:szCs w:val="14"/>
        </w:rPr>
      </w:pPr>
      <w:r w:rsidRPr="00965395">
        <w:rPr>
          <w:rFonts w:ascii="Times New Roman" w:hAnsi="Times New Roman" w:cs="Times New Roman"/>
          <w:b/>
          <w:bCs/>
          <w:sz w:val="14"/>
          <w:szCs w:val="14"/>
          <w:lang w:val="en-US"/>
        </w:rPr>
        <w:t>MAXX</w:t>
      </w:r>
      <w:r w:rsidRPr="00965395">
        <w:rPr>
          <w:rFonts w:ascii="Times New Roman" w:hAnsi="Times New Roman" w:cs="Times New Roman"/>
          <w:b/>
          <w:bCs/>
          <w:sz w:val="14"/>
          <w:szCs w:val="14"/>
        </w:rPr>
        <w:t>-</w:t>
      </w:r>
      <w:r w:rsidRPr="00965395">
        <w:rPr>
          <w:rFonts w:ascii="Times New Roman" w:hAnsi="Times New Roman" w:cs="Times New Roman"/>
          <w:b/>
          <w:bCs/>
          <w:sz w:val="14"/>
          <w:szCs w:val="14"/>
          <w:lang w:val="en-US"/>
        </w:rPr>
        <w:t>PHARM</w:t>
      </w:r>
      <w:r w:rsidRPr="00965395">
        <w:rPr>
          <w:rFonts w:ascii="Times New Roman" w:hAnsi="Times New Roman" w:cs="Times New Roman"/>
          <w:b/>
          <w:bCs/>
          <w:sz w:val="14"/>
          <w:szCs w:val="14"/>
        </w:rPr>
        <w:t>.</w:t>
      </w:r>
      <w:r w:rsidRPr="00965395">
        <w:rPr>
          <w:rFonts w:ascii="Times New Roman" w:hAnsi="Times New Roman" w:cs="Times New Roman"/>
          <w:b/>
          <w:bCs/>
          <w:sz w:val="14"/>
          <w:szCs w:val="14"/>
          <w:lang w:val="en-US"/>
        </w:rPr>
        <w:t>LTD</w:t>
      </w:r>
      <w:r w:rsidRPr="00965395">
        <w:rPr>
          <w:rFonts w:ascii="Times New Roman" w:hAnsi="Times New Roman" w:cs="Times New Roman"/>
          <w:sz w:val="14"/>
          <w:szCs w:val="14"/>
        </w:rPr>
        <w:t xml:space="preserve"> </w:t>
      </w:r>
    </w:p>
    <w:p w14:paraId="6E1F44DE" w14:textId="77777777" w:rsidR="00774B1E" w:rsidRPr="00965395" w:rsidRDefault="00774B1E" w:rsidP="00774B1E">
      <w:pPr>
        <w:adjustRightInd w:val="0"/>
        <w:ind w:left="180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965395">
        <w:rPr>
          <w:rFonts w:ascii="Times New Roman" w:hAnsi="Times New Roman" w:cs="Times New Roman"/>
          <w:b/>
          <w:bCs/>
          <w:sz w:val="14"/>
          <w:szCs w:val="14"/>
        </w:rPr>
        <w:t>Лондон, Великобритания</w:t>
      </w:r>
    </w:p>
    <w:p w14:paraId="40A1D9D5" w14:textId="77777777" w:rsidR="00774B1E" w:rsidRPr="00965395" w:rsidRDefault="00774B1E" w:rsidP="00774B1E">
      <w:pPr>
        <w:adjustRightInd w:val="0"/>
        <w:ind w:left="180"/>
        <w:jc w:val="both"/>
        <w:rPr>
          <w:rFonts w:ascii="Times New Roman" w:hAnsi="Times New Roman" w:cs="Times New Roman"/>
          <w:b/>
          <w:sz w:val="14"/>
          <w:szCs w:val="14"/>
        </w:rPr>
      </w:pPr>
    </w:p>
    <w:p w14:paraId="1B4D0E9C" w14:textId="77777777" w:rsidR="00774B1E" w:rsidRPr="00774B1E" w:rsidRDefault="00774B1E" w:rsidP="00B969D4">
      <w:pPr>
        <w:pStyle w:val="a3"/>
        <w:ind w:left="0" w:right="2647" w:firstLine="180"/>
        <w:rPr>
          <w:rFonts w:ascii="Times New Roman" w:eastAsiaTheme="minorHAnsi" w:hAnsi="Times New Roman" w:cs="Times New Roman"/>
          <w:sz w:val="12"/>
          <w:szCs w:val="12"/>
        </w:rPr>
      </w:pPr>
      <w:bookmarkStart w:id="0" w:name="_GoBack"/>
      <w:bookmarkEnd w:id="0"/>
    </w:p>
    <w:p w14:paraId="63C66EB3" w14:textId="1A6456B4" w:rsidR="008B0F95" w:rsidRPr="00774B1E" w:rsidRDefault="008B0F95" w:rsidP="00B969D4">
      <w:pPr>
        <w:pStyle w:val="a3"/>
        <w:ind w:left="0" w:right="2647" w:firstLine="180"/>
        <w:rPr>
          <w:rFonts w:ascii="Times New Roman" w:hAnsi="Times New Roman" w:cs="Times New Roman"/>
          <w:sz w:val="12"/>
          <w:szCs w:val="12"/>
        </w:rPr>
      </w:pPr>
    </w:p>
    <w:sectPr w:rsidR="008B0F95" w:rsidRPr="00774B1E">
      <w:type w:val="continuous"/>
      <w:pgSz w:w="5440" w:h="15220"/>
      <w:pgMar w:top="180" w:right="12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136"/>
    <w:multiLevelType w:val="hybridMultilevel"/>
    <w:tmpl w:val="E70E8F6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AF5609"/>
    <w:multiLevelType w:val="hybridMultilevel"/>
    <w:tmpl w:val="BE8EDC6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8B22721"/>
    <w:multiLevelType w:val="hybridMultilevel"/>
    <w:tmpl w:val="C152FDE2"/>
    <w:lvl w:ilvl="0" w:tplc="87B81838">
      <w:numFmt w:val="bullet"/>
      <w:lvlText w:val=""/>
      <w:lvlJc w:val="left"/>
      <w:pPr>
        <w:ind w:left="112" w:hanging="132"/>
      </w:pPr>
      <w:rPr>
        <w:rFonts w:ascii="Wingdings" w:eastAsia="Wingdings" w:hAnsi="Wingdings" w:cs="Wingdings" w:hint="default"/>
        <w:b w:val="0"/>
        <w:bCs w:val="0"/>
        <w:i w:val="0"/>
        <w:iCs w:val="0"/>
        <w:color w:val="3C4952"/>
        <w:w w:val="106"/>
        <w:sz w:val="8"/>
        <w:szCs w:val="8"/>
        <w:lang w:val="ru-RU" w:eastAsia="en-US" w:bidi="ar-SA"/>
      </w:rPr>
    </w:lvl>
    <w:lvl w:ilvl="1" w:tplc="99D032D4">
      <w:numFmt w:val="bullet"/>
      <w:lvlText w:val="•"/>
      <w:lvlJc w:val="left"/>
      <w:pPr>
        <w:ind w:left="627" w:hanging="132"/>
      </w:pPr>
      <w:rPr>
        <w:rFonts w:hint="default"/>
        <w:lang w:val="ru-RU" w:eastAsia="en-US" w:bidi="ar-SA"/>
      </w:rPr>
    </w:lvl>
    <w:lvl w:ilvl="2" w:tplc="7EA85F80">
      <w:numFmt w:val="bullet"/>
      <w:lvlText w:val="•"/>
      <w:lvlJc w:val="left"/>
      <w:pPr>
        <w:ind w:left="1134" w:hanging="132"/>
      </w:pPr>
      <w:rPr>
        <w:rFonts w:hint="default"/>
        <w:lang w:val="ru-RU" w:eastAsia="en-US" w:bidi="ar-SA"/>
      </w:rPr>
    </w:lvl>
    <w:lvl w:ilvl="3" w:tplc="04F2147A">
      <w:numFmt w:val="bullet"/>
      <w:lvlText w:val="•"/>
      <w:lvlJc w:val="left"/>
      <w:pPr>
        <w:ind w:left="1641" w:hanging="132"/>
      </w:pPr>
      <w:rPr>
        <w:rFonts w:hint="default"/>
        <w:lang w:val="ru-RU" w:eastAsia="en-US" w:bidi="ar-SA"/>
      </w:rPr>
    </w:lvl>
    <w:lvl w:ilvl="4" w:tplc="D838892A">
      <w:numFmt w:val="bullet"/>
      <w:lvlText w:val="•"/>
      <w:lvlJc w:val="left"/>
      <w:pPr>
        <w:ind w:left="2148" w:hanging="132"/>
      </w:pPr>
      <w:rPr>
        <w:rFonts w:hint="default"/>
        <w:lang w:val="ru-RU" w:eastAsia="en-US" w:bidi="ar-SA"/>
      </w:rPr>
    </w:lvl>
    <w:lvl w:ilvl="5" w:tplc="76B2FF6A">
      <w:numFmt w:val="bullet"/>
      <w:lvlText w:val="•"/>
      <w:lvlJc w:val="left"/>
      <w:pPr>
        <w:ind w:left="2655" w:hanging="132"/>
      </w:pPr>
      <w:rPr>
        <w:rFonts w:hint="default"/>
        <w:lang w:val="ru-RU" w:eastAsia="en-US" w:bidi="ar-SA"/>
      </w:rPr>
    </w:lvl>
    <w:lvl w:ilvl="6" w:tplc="3F981ACE">
      <w:numFmt w:val="bullet"/>
      <w:lvlText w:val="•"/>
      <w:lvlJc w:val="left"/>
      <w:pPr>
        <w:ind w:left="3162" w:hanging="132"/>
      </w:pPr>
      <w:rPr>
        <w:rFonts w:hint="default"/>
        <w:lang w:val="ru-RU" w:eastAsia="en-US" w:bidi="ar-SA"/>
      </w:rPr>
    </w:lvl>
    <w:lvl w:ilvl="7" w:tplc="A074F0D8">
      <w:numFmt w:val="bullet"/>
      <w:lvlText w:val="•"/>
      <w:lvlJc w:val="left"/>
      <w:pPr>
        <w:ind w:left="3669" w:hanging="132"/>
      </w:pPr>
      <w:rPr>
        <w:rFonts w:hint="default"/>
        <w:lang w:val="ru-RU" w:eastAsia="en-US" w:bidi="ar-SA"/>
      </w:rPr>
    </w:lvl>
    <w:lvl w:ilvl="8" w:tplc="2D3240E8">
      <w:numFmt w:val="bullet"/>
      <w:lvlText w:val="•"/>
      <w:lvlJc w:val="left"/>
      <w:pPr>
        <w:ind w:left="4176" w:hanging="1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562DF"/>
    <w:rsid w:val="00082D45"/>
    <w:rsid w:val="001B336B"/>
    <w:rsid w:val="001E5A25"/>
    <w:rsid w:val="0026202C"/>
    <w:rsid w:val="002721D7"/>
    <w:rsid w:val="003112F2"/>
    <w:rsid w:val="00324707"/>
    <w:rsid w:val="00336D1C"/>
    <w:rsid w:val="0035366A"/>
    <w:rsid w:val="003B4201"/>
    <w:rsid w:val="00457165"/>
    <w:rsid w:val="005E042F"/>
    <w:rsid w:val="00664B50"/>
    <w:rsid w:val="00681B02"/>
    <w:rsid w:val="00683B2B"/>
    <w:rsid w:val="00714738"/>
    <w:rsid w:val="00774B1E"/>
    <w:rsid w:val="007A412F"/>
    <w:rsid w:val="008562DF"/>
    <w:rsid w:val="008A28EF"/>
    <w:rsid w:val="008A3C40"/>
    <w:rsid w:val="008B0F95"/>
    <w:rsid w:val="00910511"/>
    <w:rsid w:val="00965395"/>
    <w:rsid w:val="009E4F26"/>
    <w:rsid w:val="00A2002C"/>
    <w:rsid w:val="00B23D80"/>
    <w:rsid w:val="00B969D4"/>
    <w:rsid w:val="00BD30B0"/>
    <w:rsid w:val="00C01CE1"/>
    <w:rsid w:val="00C271FC"/>
    <w:rsid w:val="00C5577A"/>
    <w:rsid w:val="00D43A82"/>
    <w:rsid w:val="00D85B69"/>
    <w:rsid w:val="00D87123"/>
    <w:rsid w:val="00DA757B"/>
    <w:rsid w:val="00E2581A"/>
    <w:rsid w:val="00E44ACA"/>
    <w:rsid w:val="00E83091"/>
    <w:rsid w:val="00EA0A57"/>
    <w:rsid w:val="00F07DFD"/>
    <w:rsid w:val="00FB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B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b/>
      <w:bCs/>
      <w:sz w:val="10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10"/>
      <w:szCs w:val="10"/>
    </w:rPr>
  </w:style>
  <w:style w:type="paragraph" w:styleId="a4">
    <w:name w:val="Title"/>
    <w:basedOn w:val="a"/>
    <w:uiPriority w:val="10"/>
    <w:qFormat/>
    <w:pPr>
      <w:spacing w:before="18"/>
      <w:ind w:left="255"/>
    </w:pPr>
    <w:rPr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ind w:left="112" w:hanging="11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Основной текст_"/>
    <w:basedOn w:val="a0"/>
    <w:link w:val="10"/>
    <w:rsid w:val="008B0F95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8B0F95"/>
    <w:pPr>
      <w:shd w:val="clear" w:color="auto" w:fill="FFFFFF"/>
      <w:autoSpaceDE/>
      <w:autoSpaceDN/>
    </w:pPr>
    <w:rPr>
      <w:rFonts w:ascii="Times New Roman" w:eastAsia="Times New Roman" w:hAnsi="Times New Roman" w:cs="Times New Roman"/>
      <w:color w:val="231F2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b/>
      <w:bCs/>
      <w:sz w:val="10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10"/>
      <w:szCs w:val="10"/>
    </w:rPr>
  </w:style>
  <w:style w:type="paragraph" w:styleId="a4">
    <w:name w:val="Title"/>
    <w:basedOn w:val="a"/>
    <w:uiPriority w:val="10"/>
    <w:qFormat/>
    <w:pPr>
      <w:spacing w:before="18"/>
      <w:ind w:left="255"/>
    </w:pPr>
    <w:rPr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ind w:left="112" w:hanging="11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Основной текст_"/>
    <w:basedOn w:val="a0"/>
    <w:link w:val="10"/>
    <w:rsid w:val="008B0F95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8B0F95"/>
    <w:pPr>
      <w:shd w:val="clear" w:color="auto" w:fill="FFFFFF"/>
      <w:autoSpaceDE/>
      <w:autoSpaceDN/>
    </w:pPr>
    <w:rPr>
      <w:rFonts w:ascii="Times New Roman" w:eastAsia="Times New Roman" w:hAnsi="Times New Roman" w:cs="Times New Roman"/>
      <w:color w:val="231F2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BL_Ropitax_Eye_Drops_5ml_Rus_Ins_Indiana_TJTK01.cdr</vt:lpstr>
    </vt:vector>
  </TitlesOfParts>
  <Company/>
  <LinksUpToDate>false</LinksUpToDate>
  <CharactersWithSpaces>11914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BL_Ropitax_Eye_Drops_5ml_Rus_Ins_Indiana_TJTK01.cdr</dc:title>
  <dc:creator>PDzhabbor</dc:creator>
  <cp:lastModifiedBy>admin</cp:lastModifiedBy>
  <cp:revision>10</cp:revision>
  <dcterms:created xsi:type="dcterms:W3CDTF">2022-07-19T10:47:00Z</dcterms:created>
  <dcterms:modified xsi:type="dcterms:W3CDTF">2024-01-22T03:24:00Z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CorelDRAW 2021</vt:lpwstr>
  </property>
  <property fmtid="{D5CDD505-2E9C-101B-9397-08002B2CF9AE}" pid="4" name="LastSaved">
    <vt:filetime>2022-07-13T00:00:00Z</vt:filetime>
  </property>
  <property fmtid="{D5CDD505-2E9C-101B-9397-08002B2CF9AE}" pid="5" name="Producer">
    <vt:lpwstr>Corel PDF Engine Version 23.0.0.363</vt:lpwstr>
  </property>
</Properties>
</file>