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BF" w:rsidRPr="0002419B" w:rsidRDefault="003365BF" w:rsidP="00140820">
      <w:pPr>
        <w:spacing w:after="0"/>
        <w:jc w:val="center"/>
        <w:rPr>
          <w:rFonts w:ascii="Times New Roman" w:hAnsi="Times New Roman" w:cs="Times New Roman"/>
          <w:b/>
        </w:rPr>
      </w:pPr>
      <w:r w:rsidRPr="0002419B">
        <w:rPr>
          <w:rFonts w:ascii="Times New Roman" w:hAnsi="Times New Roman" w:cs="Times New Roman"/>
          <w:b/>
        </w:rPr>
        <w:t>МУЛЬТИГАММА</w:t>
      </w:r>
    </w:p>
    <w:p w:rsidR="00880273" w:rsidRDefault="003365BF" w:rsidP="00140820">
      <w:pPr>
        <w:spacing w:after="0"/>
        <w:jc w:val="center"/>
        <w:rPr>
          <w:rFonts w:ascii="Times New Roman" w:hAnsi="Times New Roman" w:cs="Times New Roman"/>
          <w:b/>
        </w:rPr>
      </w:pPr>
      <w:r w:rsidRPr="0002419B">
        <w:rPr>
          <w:rFonts w:ascii="Times New Roman" w:hAnsi="Times New Roman" w:cs="Times New Roman"/>
          <w:b/>
        </w:rPr>
        <w:t xml:space="preserve">Инструкция </w:t>
      </w:r>
    </w:p>
    <w:p w:rsidR="003365BF" w:rsidRPr="0002419B" w:rsidRDefault="003365BF" w:rsidP="00140820">
      <w:pPr>
        <w:spacing w:after="0"/>
        <w:jc w:val="center"/>
        <w:rPr>
          <w:rFonts w:ascii="Times New Roman" w:hAnsi="Times New Roman" w:cs="Times New Roman"/>
          <w:b/>
        </w:rPr>
      </w:pPr>
      <w:r w:rsidRPr="0002419B">
        <w:rPr>
          <w:rFonts w:ascii="Times New Roman" w:hAnsi="Times New Roman" w:cs="Times New Roman"/>
          <w:b/>
        </w:rPr>
        <w:t>по медицинскому применению лекарственного средства</w:t>
      </w:r>
    </w:p>
    <w:p w:rsidR="0002419B" w:rsidRPr="0002419B" w:rsidRDefault="0002419B" w:rsidP="00140820">
      <w:pPr>
        <w:spacing w:after="0"/>
        <w:rPr>
          <w:rFonts w:ascii="Times New Roman" w:hAnsi="Times New Roman" w:cs="Times New Roman"/>
          <w:b/>
        </w:rPr>
      </w:pPr>
    </w:p>
    <w:p w:rsidR="00140820" w:rsidRPr="0002419B" w:rsidRDefault="00140820" w:rsidP="00140820">
      <w:pPr>
        <w:spacing w:after="0"/>
        <w:rPr>
          <w:rFonts w:ascii="Times New Roman" w:hAnsi="Times New Roman" w:cs="Times New Roman"/>
          <w:lang w:val="tg-Cyrl-TJ"/>
        </w:rPr>
      </w:pPr>
      <w:r w:rsidRPr="0002419B">
        <w:rPr>
          <w:rFonts w:ascii="Times New Roman" w:hAnsi="Times New Roman" w:cs="Times New Roman"/>
          <w:b/>
        </w:rPr>
        <w:t>Торговое название:</w:t>
      </w:r>
      <w:r w:rsidRPr="0002419B">
        <w:rPr>
          <w:rFonts w:ascii="Times New Roman" w:hAnsi="Times New Roman" w:cs="Times New Roman"/>
        </w:rPr>
        <w:t xml:space="preserve"> </w:t>
      </w:r>
      <w:proofErr w:type="spellStart"/>
      <w:r w:rsidRPr="0002419B">
        <w:rPr>
          <w:rFonts w:ascii="Times New Roman" w:hAnsi="Times New Roman" w:cs="Times New Roman"/>
          <w:bCs/>
        </w:rPr>
        <w:t>Мультигамма</w:t>
      </w:r>
      <w:proofErr w:type="spellEnd"/>
      <w:r w:rsidRPr="0002419B">
        <w:rPr>
          <w:rFonts w:ascii="Times New Roman" w:hAnsi="Times New Roman" w:cs="Times New Roman"/>
        </w:rPr>
        <w:t>.</w:t>
      </w:r>
    </w:p>
    <w:p w:rsidR="00140820" w:rsidRPr="0002419B" w:rsidRDefault="00140820" w:rsidP="00140820">
      <w:pPr>
        <w:spacing w:after="0"/>
        <w:rPr>
          <w:rFonts w:ascii="Times New Roman" w:hAnsi="Times New Roman" w:cs="Times New Roman"/>
          <w:lang w:val="tg-Cyrl-TJ"/>
        </w:rPr>
      </w:pPr>
      <w:r w:rsidRPr="0002419B">
        <w:rPr>
          <w:rFonts w:ascii="Times New Roman" w:hAnsi="Times New Roman" w:cs="Times New Roman"/>
          <w:b/>
        </w:rPr>
        <w:t>МНН:</w:t>
      </w:r>
      <w:r w:rsidRPr="0002419B">
        <w:rPr>
          <w:rFonts w:ascii="Times New Roman" w:hAnsi="Times New Roman" w:cs="Times New Roman"/>
        </w:rPr>
        <w:t xml:space="preserve"> </w:t>
      </w:r>
      <w:r w:rsidR="00880273">
        <w:rPr>
          <w:rFonts w:ascii="Times New Roman" w:hAnsi="Times New Roman" w:cs="Times New Roman"/>
          <w:lang w:val="tg-Cyrl-TJ"/>
        </w:rPr>
        <w:t>Т</w:t>
      </w:r>
      <w:r w:rsidR="003365BF" w:rsidRPr="0002419B">
        <w:rPr>
          <w:rFonts w:ascii="Times New Roman" w:hAnsi="Times New Roman" w:cs="Times New Roman"/>
          <w:lang w:val="tg-Cyrl-TJ"/>
        </w:rPr>
        <w:t>иамина гидрохлорид + пиридоксина гидрохлорид + цианокобаламин</w:t>
      </w:r>
      <w:r w:rsidRPr="0002419B">
        <w:rPr>
          <w:rFonts w:ascii="Times New Roman" w:hAnsi="Times New Roman" w:cs="Times New Roman"/>
        </w:rPr>
        <w:t>.</w:t>
      </w:r>
    </w:p>
    <w:p w:rsidR="00805F01" w:rsidRPr="0002419B" w:rsidRDefault="00140820" w:rsidP="00140820">
      <w:pPr>
        <w:spacing w:after="0"/>
        <w:rPr>
          <w:rFonts w:ascii="Times New Roman" w:hAnsi="Times New Roman" w:cs="Times New Roman"/>
          <w:bCs/>
        </w:rPr>
      </w:pPr>
      <w:r w:rsidRPr="0002419B">
        <w:rPr>
          <w:rFonts w:ascii="Times New Roman" w:hAnsi="Times New Roman" w:cs="Times New Roman"/>
          <w:b/>
        </w:rPr>
        <w:t>Лекарственная форма:</w:t>
      </w:r>
      <w:r w:rsidRPr="0002419B">
        <w:rPr>
          <w:rFonts w:ascii="Times New Roman" w:hAnsi="Times New Roman" w:cs="Times New Roman"/>
        </w:rPr>
        <w:t xml:space="preserve"> </w:t>
      </w:r>
      <w:r w:rsidR="0002419B" w:rsidRPr="0002419B">
        <w:rPr>
          <w:rFonts w:ascii="Times New Roman" w:hAnsi="Times New Roman" w:cs="Times New Roman"/>
          <w:bCs/>
          <w:lang w:val="tg-Cyrl-TJ"/>
        </w:rPr>
        <w:t>А</w:t>
      </w:r>
      <w:r w:rsidRPr="0002419B">
        <w:rPr>
          <w:rFonts w:ascii="Times New Roman" w:hAnsi="Times New Roman" w:cs="Times New Roman"/>
          <w:bCs/>
          <w:lang w:val="tg-Cyrl-TJ"/>
        </w:rPr>
        <w:t>мпул</w:t>
      </w:r>
      <w:r w:rsidRPr="0002419B">
        <w:rPr>
          <w:rFonts w:ascii="Times New Roman" w:hAnsi="Times New Roman" w:cs="Times New Roman"/>
          <w:bCs/>
        </w:rPr>
        <w:t>ы</w:t>
      </w:r>
      <w:r w:rsidRPr="0002419B">
        <w:rPr>
          <w:rFonts w:ascii="Times New Roman" w:hAnsi="Times New Roman" w:cs="Times New Roman"/>
          <w:b/>
          <w:bCs/>
        </w:rPr>
        <w:t xml:space="preserve"> </w:t>
      </w:r>
      <w:r w:rsidR="003365BF" w:rsidRPr="0002419B">
        <w:rPr>
          <w:rFonts w:ascii="Times New Roman" w:hAnsi="Times New Roman" w:cs="Times New Roman"/>
          <w:bCs/>
        </w:rPr>
        <w:t>для внутримышечного введения.</w:t>
      </w:r>
    </w:p>
    <w:p w:rsidR="00F30012" w:rsidRPr="0002419B" w:rsidRDefault="00F30012" w:rsidP="00F30012">
      <w:pPr>
        <w:spacing w:after="0"/>
        <w:rPr>
          <w:rFonts w:ascii="Times New Roman" w:hAnsi="Times New Roman" w:cs="Times New Roman"/>
          <w:bCs/>
        </w:rPr>
      </w:pPr>
      <w:proofErr w:type="spellStart"/>
      <w:proofErr w:type="gramStart"/>
      <w:r w:rsidRPr="0002419B">
        <w:rPr>
          <w:rFonts w:ascii="Times New Roman" w:hAnsi="Times New Roman" w:cs="Times New Roman"/>
          <w:b/>
          <w:bCs/>
        </w:rPr>
        <w:t>Фармако</w:t>
      </w:r>
      <w:proofErr w:type="spellEnd"/>
      <w:r w:rsidR="0002419B" w:rsidRPr="0002419B">
        <w:rPr>
          <w:rFonts w:ascii="Times New Roman" w:hAnsi="Times New Roman" w:cs="Times New Roman"/>
          <w:b/>
          <w:bCs/>
        </w:rPr>
        <w:t>-</w:t>
      </w:r>
      <w:r w:rsidRPr="0002419B">
        <w:rPr>
          <w:rFonts w:ascii="Times New Roman" w:hAnsi="Times New Roman" w:cs="Times New Roman"/>
          <w:b/>
          <w:bCs/>
        </w:rPr>
        <w:t>терапевтическая</w:t>
      </w:r>
      <w:proofErr w:type="gramEnd"/>
      <w:r w:rsidRPr="0002419B">
        <w:rPr>
          <w:rFonts w:ascii="Times New Roman" w:hAnsi="Times New Roman" w:cs="Times New Roman"/>
          <w:b/>
          <w:bCs/>
        </w:rPr>
        <w:t xml:space="preserve"> группа:</w:t>
      </w:r>
      <w:r w:rsidRPr="0002419B">
        <w:rPr>
          <w:rFonts w:ascii="Times New Roman" w:hAnsi="Times New Roman" w:cs="Times New Roman"/>
          <w:bCs/>
        </w:rPr>
        <w:t xml:space="preserve"> Витамины. </w:t>
      </w:r>
      <w:bookmarkStart w:id="0" w:name="1"/>
      <w:bookmarkEnd w:id="0"/>
    </w:p>
    <w:p w:rsidR="00F30012" w:rsidRPr="0002419B" w:rsidRDefault="00827BE8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b/>
          <w:color w:val="262626" w:themeColor="text1" w:themeTint="D9"/>
        </w:rPr>
        <w:t>Состав</w:t>
      </w:r>
      <w:r w:rsidR="00F30012" w:rsidRPr="0002419B">
        <w:rPr>
          <w:rFonts w:ascii="Times New Roman" w:hAnsi="Times New Roman" w:cs="Times New Roman"/>
          <w:b/>
          <w:color w:val="262626" w:themeColor="text1" w:themeTint="D9"/>
        </w:rPr>
        <w:t>:</w:t>
      </w:r>
      <w:r w:rsidR="00F30012" w:rsidRPr="0002419B">
        <w:rPr>
          <w:rFonts w:ascii="Times New Roman" w:hAnsi="Times New Roman" w:cs="Times New Roman"/>
          <w:b/>
          <w:bCs/>
        </w:rPr>
        <w:t xml:space="preserve"> </w:t>
      </w:r>
      <w:r w:rsidR="00880273">
        <w:rPr>
          <w:rFonts w:ascii="Times New Roman" w:hAnsi="Times New Roman" w:cs="Times New Roman"/>
          <w:i/>
          <w:color w:val="262626" w:themeColor="text1" w:themeTint="D9"/>
        </w:rPr>
        <w:t>В</w:t>
      </w:r>
      <w:r w:rsidRPr="0002419B">
        <w:rPr>
          <w:rFonts w:ascii="Times New Roman" w:hAnsi="Times New Roman" w:cs="Times New Roman"/>
          <w:i/>
          <w:color w:val="262626" w:themeColor="text1" w:themeTint="D9"/>
        </w:rPr>
        <w:t xml:space="preserve"> одной ампуле содержится:</w:t>
      </w:r>
      <w:r w:rsidRPr="0002419B">
        <w:rPr>
          <w:rFonts w:ascii="Times New Roman" w:hAnsi="Times New Roman" w:cs="Times New Roman"/>
          <w:color w:val="262626" w:themeColor="text1" w:themeTint="D9"/>
        </w:rPr>
        <w:t> </w:t>
      </w:r>
      <w:r w:rsidRPr="0002419B">
        <w:rPr>
          <w:rFonts w:ascii="Times New Roman" w:hAnsi="Times New Roman" w:cs="Times New Roman"/>
          <w:i/>
          <w:iCs/>
          <w:color w:val="262626" w:themeColor="text1" w:themeTint="D9"/>
        </w:rPr>
        <w:t>действующие вещества:</w:t>
      </w:r>
      <w:r w:rsidRPr="0002419B">
        <w:rPr>
          <w:rFonts w:ascii="Times New Roman" w:hAnsi="Times New Roman" w:cs="Times New Roman"/>
          <w:color w:val="262626" w:themeColor="text1" w:themeTint="D9"/>
        </w:rPr>
        <w:t> </w:t>
      </w:r>
    </w:p>
    <w:p w:rsidR="00F30012" w:rsidRPr="0002419B" w:rsidRDefault="00F30012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тиамина гидрохлорид ……………….100 мг;</w:t>
      </w:r>
    </w:p>
    <w:p w:rsidR="00F30012" w:rsidRPr="0002419B" w:rsidRDefault="00F30012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пиридоксина гидрохлорид ………</w:t>
      </w:r>
      <w:r w:rsidR="0002419B">
        <w:rPr>
          <w:rFonts w:ascii="Times New Roman" w:hAnsi="Times New Roman" w:cs="Times New Roman"/>
          <w:color w:val="262626" w:themeColor="text1" w:themeTint="D9"/>
        </w:rPr>
        <w:t>….</w:t>
      </w:r>
      <w:r w:rsidRPr="0002419B">
        <w:rPr>
          <w:rFonts w:ascii="Times New Roman" w:hAnsi="Times New Roman" w:cs="Times New Roman"/>
          <w:color w:val="262626" w:themeColor="text1" w:themeTint="D9"/>
        </w:rPr>
        <w:t>100 мг;</w:t>
      </w:r>
    </w:p>
    <w:p w:rsidR="00F30012" w:rsidRPr="0002419B" w:rsidRDefault="00F30012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цианокобаламин</w:t>
      </w:r>
      <w:proofErr w:type="spellEnd"/>
      <w:r w:rsidR="0002419B">
        <w:rPr>
          <w:rFonts w:ascii="Times New Roman" w:hAnsi="Times New Roman" w:cs="Times New Roman"/>
          <w:color w:val="262626" w:themeColor="text1" w:themeTint="D9"/>
        </w:rPr>
        <w:t xml:space="preserve"> ……………………….</w:t>
      </w:r>
      <w:r w:rsidRPr="0002419B">
        <w:rPr>
          <w:rFonts w:ascii="Times New Roman" w:hAnsi="Times New Roman" w:cs="Times New Roman"/>
          <w:color w:val="262626" w:themeColor="text1" w:themeTint="D9"/>
        </w:rPr>
        <w:t>1 мг;</w:t>
      </w:r>
    </w:p>
    <w:p w:rsidR="00827BE8" w:rsidRPr="0002419B" w:rsidRDefault="00827BE8" w:rsidP="00827BE8">
      <w:pPr>
        <w:spacing w:after="0"/>
        <w:rPr>
          <w:rFonts w:ascii="Times New Roman" w:hAnsi="Times New Roman" w:cs="Times New Roman"/>
          <w:b/>
          <w:bCs/>
        </w:rPr>
      </w:pPr>
      <w:r w:rsidRPr="0002419B">
        <w:rPr>
          <w:rFonts w:ascii="Times New Roman" w:hAnsi="Times New Roman" w:cs="Times New Roman"/>
          <w:i/>
          <w:iCs/>
          <w:color w:val="262626" w:themeColor="text1" w:themeTint="D9"/>
        </w:rPr>
        <w:t>вспомогательные вещества: 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лидокаина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гидрохлорид, спирт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бензиловый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, натрия полифосфат, калия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гексацианоферрат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>, натрия гидроксид, вода для инъекций.</w:t>
      </w:r>
    </w:p>
    <w:p w:rsidR="00827BE8" w:rsidRPr="0002419B" w:rsidRDefault="0002419B" w:rsidP="00827BE8">
      <w:pPr>
        <w:pStyle w:val="2"/>
        <w:spacing w:before="0" w:line="480" w:lineRule="atLeast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bookmarkStart w:id="1" w:name="2"/>
      <w:bookmarkStart w:id="2" w:name="3"/>
      <w:bookmarkEnd w:id="1"/>
      <w:bookmarkEnd w:id="2"/>
      <w:r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Фармакологически</w:t>
      </w:r>
      <w:r w:rsidR="00827BE8" w:rsidRPr="0002419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е свойства</w:t>
      </w:r>
      <w:r>
        <w:rPr>
          <w:rFonts w:ascii="Times New Roman" w:hAnsi="Times New Roman" w:cs="Times New Roman"/>
          <w:color w:val="262626" w:themeColor="text1" w:themeTint="D9"/>
          <w:sz w:val="22"/>
          <w:szCs w:val="22"/>
        </w:rPr>
        <w:t>:</w:t>
      </w:r>
    </w:p>
    <w:p w:rsidR="0002419B" w:rsidRPr="0002419B" w:rsidRDefault="00A375EE" w:rsidP="00A375EE">
      <w:pPr>
        <w:rPr>
          <w:rFonts w:ascii="Times New Roman" w:hAnsi="Times New Roman" w:cs="Times New Roman"/>
          <w:i/>
        </w:rPr>
      </w:pPr>
      <w:proofErr w:type="spellStart"/>
      <w:r w:rsidRPr="0002419B">
        <w:rPr>
          <w:rFonts w:ascii="Times New Roman" w:hAnsi="Times New Roman" w:cs="Times New Roman"/>
          <w:i/>
        </w:rPr>
        <w:t>Фармакодинамика</w:t>
      </w:r>
      <w:proofErr w:type="spellEnd"/>
      <w:r w:rsidRPr="0002419B">
        <w:rPr>
          <w:rFonts w:ascii="Times New Roman" w:hAnsi="Times New Roman" w:cs="Times New Roman"/>
          <w:i/>
        </w:rPr>
        <w:t xml:space="preserve">: </w:t>
      </w:r>
    </w:p>
    <w:p w:rsidR="00A375EE" w:rsidRPr="0002419B" w:rsidRDefault="00A375EE" w:rsidP="00A375EE">
      <w:pPr>
        <w:rPr>
          <w:rFonts w:ascii="Times New Roman" w:hAnsi="Times New Roman" w:cs="Times New Roman"/>
          <w:i/>
        </w:rPr>
      </w:pPr>
      <w:r w:rsidRPr="0002419B">
        <w:rPr>
          <w:rFonts w:ascii="Times New Roman" w:hAnsi="Times New Roman" w:cs="Times New Roman"/>
          <w:i/>
        </w:rPr>
        <w:t xml:space="preserve">Тиамина гидрохлорид или </w:t>
      </w:r>
      <w:r w:rsidRPr="0002419B">
        <w:rPr>
          <w:rFonts w:ascii="Times New Roman" w:hAnsi="Times New Roman" w:cs="Times New Roman"/>
          <w:i/>
          <w:color w:val="262626" w:themeColor="text1" w:themeTint="D9"/>
        </w:rPr>
        <w:t>в</w:t>
      </w:r>
      <w:r w:rsidR="00827BE8" w:rsidRPr="0002419B">
        <w:rPr>
          <w:rFonts w:ascii="Times New Roman" w:hAnsi="Times New Roman" w:cs="Times New Roman"/>
          <w:i/>
          <w:color w:val="262626" w:themeColor="text1" w:themeTint="D9"/>
        </w:rPr>
        <w:t>итамин В</w:t>
      </w:r>
      <w:proofErr w:type="gramStart"/>
      <w:r w:rsidR="00827BE8" w:rsidRPr="0002419B">
        <w:rPr>
          <w:rFonts w:ascii="Times New Roman" w:hAnsi="Times New Roman" w:cs="Times New Roman"/>
          <w:i/>
          <w:color w:val="262626" w:themeColor="text1" w:themeTint="D9"/>
        </w:rPr>
        <w:t>1</w:t>
      </w:r>
      <w:proofErr w:type="gramEnd"/>
      <w:r w:rsidR="00827BE8" w:rsidRPr="0002419B">
        <w:rPr>
          <w:rFonts w:ascii="Times New Roman" w:hAnsi="Times New Roman" w:cs="Times New Roman"/>
          <w:color w:val="262626" w:themeColor="text1" w:themeTint="D9"/>
        </w:rPr>
        <w:t xml:space="preserve">  </w:t>
      </w:r>
      <w:r w:rsidRPr="0002419B">
        <w:rPr>
          <w:rFonts w:ascii="Times New Roman" w:hAnsi="Times New Roman" w:cs="Times New Roman"/>
          <w:color w:val="262626" w:themeColor="text1" w:themeTint="D9"/>
        </w:rPr>
        <w:t>играет ключевую роль в метаболизме углеводов, а также в цикле Кребса с последующим участием в синтезе ТПФ (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тиаминпирофосфат</w:t>
      </w:r>
      <w:r w:rsidR="0002419B" w:rsidRPr="0002419B">
        <w:rPr>
          <w:rFonts w:ascii="Times New Roman" w:hAnsi="Times New Roman" w:cs="Times New Roman"/>
          <w:color w:val="262626" w:themeColor="text1" w:themeTint="D9"/>
        </w:rPr>
        <w:t>а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) и АТФ, участвует в проведении нервного импульса. </w:t>
      </w:r>
    </w:p>
    <w:p w:rsidR="00A375EE" w:rsidRPr="0002419B" w:rsidRDefault="00A375EE" w:rsidP="00A375EE">
      <w:pPr>
        <w:spacing w:line="240" w:lineRule="auto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i/>
          <w:color w:val="262626" w:themeColor="text1" w:themeTint="D9"/>
        </w:rPr>
        <w:t>Пиридоксин</w:t>
      </w:r>
      <w:r w:rsidRPr="0002419B">
        <w:rPr>
          <w:rFonts w:ascii="Times New Roman" w:hAnsi="Times New Roman" w:cs="Times New Roman"/>
          <w:color w:val="262626" w:themeColor="text1" w:themeTint="D9"/>
        </w:rPr>
        <w:t xml:space="preserve">а гидрохлорид  участвует в метаболизме протеина и частично — в метаболизме углеводов и жиров. Физиологической функцией обоих витаминов является потенцирование действия друг друга, проявляющееся в положительном влиянии на </w:t>
      </w:r>
      <w:proofErr w:type="gramStart"/>
      <w:r w:rsidRPr="0002419B">
        <w:rPr>
          <w:rFonts w:ascii="Times New Roman" w:hAnsi="Times New Roman" w:cs="Times New Roman"/>
          <w:color w:val="262626" w:themeColor="text1" w:themeTint="D9"/>
        </w:rPr>
        <w:t>нейромышечную</w:t>
      </w:r>
      <w:proofErr w:type="gram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и сердечно-сосудистую системы, необходим для нормального кроветворения, функционирования центральной и периферической нервной системы. Обеспечивает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синаптическую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передачу, процессы торможения в ЦНС, участвует в транспорте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сфингозина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>, входящего в состав оболочки нерва, участвует в синтезе катехоламинов.</w:t>
      </w:r>
    </w:p>
    <w:p w:rsidR="00A375EE" w:rsidRPr="0002419B" w:rsidRDefault="00A375EE" w:rsidP="00A375EE">
      <w:pPr>
        <w:spacing w:line="240" w:lineRule="auto"/>
        <w:rPr>
          <w:rFonts w:ascii="Times New Roman" w:hAnsi="Times New Roman" w:cs="Times New Roman"/>
          <w:color w:val="262626" w:themeColor="text1" w:themeTint="D9"/>
        </w:rPr>
      </w:pPr>
      <w:proofErr w:type="spellStart"/>
      <w:r w:rsidRPr="0002419B">
        <w:rPr>
          <w:rFonts w:ascii="Times New Roman" w:hAnsi="Times New Roman" w:cs="Times New Roman"/>
          <w:i/>
          <w:color w:val="262626" w:themeColor="text1" w:themeTint="D9"/>
        </w:rPr>
        <w:t>Цианокобаламин</w:t>
      </w:r>
      <w:proofErr w:type="spellEnd"/>
      <w:r w:rsidRPr="0002419B">
        <w:rPr>
          <w:rFonts w:ascii="Times New Roman" w:hAnsi="Times New Roman" w:cs="Times New Roman"/>
          <w:i/>
          <w:color w:val="262626" w:themeColor="text1" w:themeTint="D9"/>
        </w:rPr>
        <w:t xml:space="preserve"> </w:t>
      </w:r>
      <w:r w:rsidRPr="0002419B">
        <w:rPr>
          <w:rFonts w:ascii="Times New Roman" w:hAnsi="Times New Roman" w:cs="Times New Roman"/>
          <w:color w:val="262626" w:themeColor="text1" w:themeTint="D9"/>
        </w:rPr>
        <w:t xml:space="preserve">участвует в синтезе миелиновой оболочки, стимулирует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гемопоэз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>, уменьшает болевые ощущения, связанные с поражением периферической нервной системы, стимулирует нуклеиновый обмен через активацию фолиевой кислоты.</w:t>
      </w:r>
    </w:p>
    <w:p w:rsidR="00AB1083" w:rsidRPr="0002419B" w:rsidRDefault="00A375EE" w:rsidP="00A375EE">
      <w:pPr>
        <w:spacing w:line="240" w:lineRule="auto"/>
        <w:rPr>
          <w:rFonts w:ascii="Times New Roman" w:hAnsi="Times New Roman" w:cs="Times New Roman"/>
          <w:i/>
        </w:rPr>
      </w:pP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Лидокаин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— оказывает анестезирующее действие в месте инъекции, расширяет сосуды, способствуя всасыванию витаминов. 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Местноанестезирующее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действие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лидокаина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обусловлено блокадой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потенциалзависимых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Nа</w:t>
      </w:r>
      <w:proofErr w:type="spellEnd"/>
      <w:proofErr w:type="gramStart"/>
      <w:r w:rsidRPr="0002419B">
        <w:rPr>
          <w:rFonts w:ascii="Times New Roman" w:hAnsi="Times New Roman" w:cs="Times New Roman"/>
          <w:color w:val="262626" w:themeColor="text1" w:themeTint="D9"/>
        </w:rPr>
        <w:t>+-</w:t>
      </w:r>
      <w:proofErr w:type="gramEnd"/>
      <w:r w:rsidRPr="0002419B">
        <w:rPr>
          <w:rFonts w:ascii="Times New Roman" w:hAnsi="Times New Roman" w:cs="Times New Roman"/>
          <w:color w:val="262626" w:themeColor="text1" w:themeTint="D9"/>
        </w:rPr>
        <w:t>каналов, что препятствует генерации импульсов в окончаниях чувствительных нервов и проведению болевых импульсов по нервным волокнам.</w:t>
      </w:r>
      <w:bookmarkStart w:id="3" w:name="4"/>
      <w:bookmarkEnd w:id="3"/>
    </w:p>
    <w:p w:rsidR="00A375EE" w:rsidRPr="0002419B" w:rsidRDefault="00827BE8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b/>
          <w:color w:val="262626" w:themeColor="text1" w:themeTint="D9"/>
        </w:rPr>
        <w:t>Показания к применению</w:t>
      </w:r>
      <w:r w:rsidR="00A375EE" w:rsidRPr="0002419B">
        <w:rPr>
          <w:rFonts w:ascii="Times New Roman" w:hAnsi="Times New Roman" w:cs="Times New Roman"/>
          <w:b/>
          <w:color w:val="262626" w:themeColor="text1" w:themeTint="D9"/>
        </w:rPr>
        <w:t>:</w:t>
      </w:r>
      <w:r w:rsidR="00E010EF" w:rsidRPr="0002419B">
        <w:rPr>
          <w:rFonts w:ascii="Times New Roman" w:hAnsi="Times New Roman" w:cs="Times New Roman"/>
          <w:b/>
          <w:color w:val="262626" w:themeColor="text1" w:themeTint="D9"/>
        </w:rPr>
        <w:t xml:space="preserve"> </w:t>
      </w:r>
      <w:r w:rsidR="00A375EE" w:rsidRPr="0002419B">
        <w:rPr>
          <w:rFonts w:ascii="Times New Roman" w:hAnsi="Times New Roman" w:cs="Times New Roman"/>
          <w:color w:val="262626" w:themeColor="text1" w:themeTint="D9"/>
        </w:rPr>
        <w:t>применяется в  качестве патогенетического и симптоматического средства в составе комплексной терапии заболеваний и синдромов нервной системы различного происхождения: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невралгия;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неврит;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парез лицевого нерва;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ретробульбарный неврит;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-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ганглиониты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(включая опоясывающий лишай);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-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плексопатия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>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-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нейропатия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>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-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полинейропатия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(диабетическая, алкогольная и др.);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миалгия;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- ночные мышечные судороги, особенно у лиц старших возрастных групп;</w:t>
      </w:r>
    </w:p>
    <w:p w:rsidR="00A375EE" w:rsidRPr="0002419B" w:rsidRDefault="00A375EE" w:rsidP="00A375EE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- неврологические проявления остеохондроза позвоночника: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радикулопатия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,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люмбоишиалгия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, </w:t>
      </w:r>
      <w:r w:rsidR="0002419B">
        <w:rPr>
          <w:rFonts w:ascii="Times New Roman" w:hAnsi="Times New Roman" w:cs="Times New Roman"/>
          <w:color w:val="262626" w:themeColor="text1" w:themeTint="D9"/>
        </w:rPr>
        <w:t xml:space="preserve">   </w:t>
      </w:r>
      <w:r w:rsidRPr="0002419B">
        <w:rPr>
          <w:rFonts w:ascii="Times New Roman" w:hAnsi="Times New Roman" w:cs="Times New Roman"/>
          <w:color w:val="262626" w:themeColor="text1" w:themeTint="D9"/>
        </w:rPr>
        <w:t>мышечно-тонические синдромы.</w:t>
      </w:r>
    </w:p>
    <w:p w:rsidR="0002419B" w:rsidRDefault="0002419B" w:rsidP="00E010EF">
      <w:pPr>
        <w:rPr>
          <w:rFonts w:ascii="Times New Roman" w:hAnsi="Times New Roman" w:cs="Times New Roman"/>
          <w:color w:val="262626" w:themeColor="text1" w:themeTint="D9"/>
        </w:rPr>
      </w:pPr>
      <w:bookmarkStart w:id="4" w:name="5"/>
      <w:bookmarkStart w:id="5" w:name="6"/>
      <w:bookmarkEnd w:id="4"/>
      <w:bookmarkEnd w:id="5"/>
    </w:p>
    <w:p w:rsidR="00E010EF" w:rsidRPr="0002419B" w:rsidRDefault="00827BE8" w:rsidP="00E010EF">
      <w:pPr>
        <w:rPr>
          <w:rFonts w:ascii="Times New Roman" w:eastAsia="Calibri" w:hAnsi="Times New Roman" w:cs="Times New Roman"/>
          <w:b/>
        </w:rPr>
      </w:pPr>
      <w:r w:rsidRPr="0002419B">
        <w:rPr>
          <w:rFonts w:ascii="Times New Roman" w:hAnsi="Times New Roman" w:cs="Times New Roman"/>
          <w:b/>
          <w:color w:val="262626" w:themeColor="text1" w:themeTint="D9"/>
        </w:rPr>
        <w:lastRenderedPageBreak/>
        <w:t>Способ применения и дозы</w:t>
      </w:r>
      <w:r w:rsidR="00E010EF" w:rsidRPr="0002419B">
        <w:rPr>
          <w:rFonts w:ascii="Times New Roman" w:hAnsi="Times New Roman" w:cs="Times New Roman"/>
          <w:b/>
          <w:color w:val="262626" w:themeColor="text1" w:themeTint="D9"/>
        </w:rPr>
        <w:t>:</w:t>
      </w:r>
      <w:r w:rsidR="00E010EF" w:rsidRPr="0002419B">
        <w:rPr>
          <w:rFonts w:ascii="Times New Roman" w:eastAsia="Calibri" w:hAnsi="Times New Roman" w:cs="Times New Roman"/>
          <w:i/>
          <w:iCs/>
        </w:rPr>
        <w:t xml:space="preserve"> В/</w:t>
      </w:r>
      <w:proofErr w:type="gramStart"/>
      <w:r w:rsidR="00E010EF" w:rsidRPr="0002419B">
        <w:rPr>
          <w:rFonts w:ascii="Times New Roman" w:eastAsia="Calibri" w:hAnsi="Times New Roman" w:cs="Times New Roman"/>
          <w:i/>
          <w:iCs/>
        </w:rPr>
        <w:t>м</w:t>
      </w:r>
      <w:proofErr w:type="gramEnd"/>
      <w:r w:rsidR="00E010EF" w:rsidRPr="0002419B">
        <w:rPr>
          <w:rFonts w:ascii="Times New Roman" w:eastAsia="Calibri" w:hAnsi="Times New Roman" w:cs="Times New Roman"/>
          <w:i/>
          <w:iCs/>
        </w:rPr>
        <w:t xml:space="preserve"> (инъекции выполняют глубоко внутримышечно!).</w:t>
      </w:r>
      <w:r w:rsidR="00E010EF" w:rsidRPr="0002419B">
        <w:rPr>
          <w:rFonts w:ascii="Times New Roman" w:eastAsia="Calibri" w:hAnsi="Times New Roman" w:cs="Times New Roman"/>
        </w:rPr>
        <w:t> В случаях выраженного болевого синдрома для быстрого достижения высокого уровня препарата в крови лечение целесообразно начинать с 2,0 мл ежедневно в течение 5–10 дней. В дальнейшем после стихания болевого синдрома и при легких формах заболевания переходят на более редкие инъекции (2–3 раза в неделю в течение 2–3 недель). Рекомендуется еженедельный контроль терапии со стороны врача.</w:t>
      </w:r>
    </w:p>
    <w:p w:rsidR="00827BE8" w:rsidRPr="0002419B" w:rsidRDefault="00827BE8" w:rsidP="00827BE8">
      <w:pPr>
        <w:pStyle w:val="2"/>
        <w:spacing w:before="0" w:line="480" w:lineRule="atLeast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bookmarkStart w:id="6" w:name="7"/>
      <w:bookmarkEnd w:id="6"/>
      <w:r w:rsidRPr="0002419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Предосторожности</w:t>
      </w:r>
      <w:r w:rsidR="00E010EF" w:rsidRPr="0002419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:</w:t>
      </w:r>
    </w:p>
    <w:p w:rsidR="00827BE8" w:rsidRPr="0002419B" w:rsidRDefault="00827BE8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Препарат вводится исключительно внутримышечно. При случайном введении внутривенно необходимо наблюдение врача</w:t>
      </w:r>
      <w:r w:rsidR="0002419B" w:rsidRPr="0002419B">
        <w:rPr>
          <w:rFonts w:ascii="Times New Roman" w:hAnsi="Times New Roman" w:cs="Times New Roman"/>
          <w:color w:val="262626" w:themeColor="text1" w:themeTint="D9"/>
        </w:rPr>
        <w:t>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  <w:t xml:space="preserve">Перед применением лидокаина гидрохлорида обязательно проведение кожной пробы на аллергию на лекарственное средство, о которой свидетельствует отек и покраснение места инъекции. С осторожностью и в меньших дозах применяют пациентам с сердечной недостаточностью, артериальной гипертензией, атриовентрикулярной блокадой I ст., нарушениями </w:t>
      </w:r>
      <w:proofErr w:type="spellStart"/>
      <w:r w:rsidRPr="0002419B">
        <w:rPr>
          <w:rFonts w:ascii="Times New Roman" w:hAnsi="Times New Roman" w:cs="Times New Roman"/>
          <w:color w:val="262626" w:themeColor="text1" w:themeTint="D9"/>
        </w:rPr>
        <w:t>внутрижелудочковой</w:t>
      </w:r>
      <w:proofErr w:type="spell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проводимости, нарушениями функции печени и почек, эпилепсией, после операций на сердце, при генетической предрасположенности к гипертермии, ослабленным пациентам. Пациентам пожилого возраста, а также лицам с аритмией в анамнезе следует применять с осторожностью под контролем ЭКГ. В случае появления удлинения интервала PQ, уширения комплекса QRS или развития нарушения ритма следует уменьшить дозу или отменить препарат.</w:t>
      </w:r>
    </w:p>
    <w:p w:rsidR="00827BE8" w:rsidRPr="0002419B" w:rsidRDefault="00827BE8" w:rsidP="00827BE8">
      <w:pPr>
        <w:pStyle w:val="2"/>
        <w:spacing w:before="0" w:line="480" w:lineRule="atLeast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bookmarkStart w:id="7" w:name="8"/>
      <w:bookmarkStart w:id="8" w:name="9"/>
      <w:bookmarkStart w:id="9" w:name="10"/>
      <w:bookmarkStart w:id="10" w:name="11"/>
      <w:bookmarkEnd w:id="7"/>
      <w:bookmarkEnd w:id="8"/>
      <w:bookmarkEnd w:id="9"/>
      <w:bookmarkEnd w:id="10"/>
      <w:r w:rsidRPr="0002419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Беременность и лактация</w:t>
      </w:r>
    </w:p>
    <w:p w:rsidR="00827BE8" w:rsidRPr="0002419B" w:rsidRDefault="00827BE8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Во время беременности и лактации рекомендуется ежедневный прием витамина B1 в дозе 1,4 –1,6 мг в сутки, витамина B6</w:t>
      </w:r>
      <w:r w:rsidR="0002419B" w:rsidRPr="0002419B">
        <w:rPr>
          <w:rFonts w:ascii="Times New Roman" w:hAnsi="Times New Roman" w:cs="Times New Roman"/>
          <w:color w:val="262626" w:themeColor="text1" w:themeTint="D9"/>
        </w:rPr>
        <w:t> </w:t>
      </w:r>
      <w:r w:rsidRPr="0002419B">
        <w:rPr>
          <w:rFonts w:ascii="Times New Roman" w:hAnsi="Times New Roman" w:cs="Times New Roman"/>
          <w:color w:val="262626" w:themeColor="text1" w:themeTint="D9"/>
        </w:rPr>
        <w:t xml:space="preserve"> 2,4 – 2,6 мг в сутки. Прием этих доз может быть рекомендован лишь при недостаточности этих витаминов. </w:t>
      </w:r>
      <w:r w:rsidR="0002419B" w:rsidRPr="0002419B">
        <w:rPr>
          <w:rFonts w:ascii="Times New Roman" w:hAnsi="Times New Roman" w:cs="Times New Roman"/>
          <w:color w:val="262626" w:themeColor="text1" w:themeTint="D9"/>
        </w:rPr>
        <w:t xml:space="preserve"> </w:t>
      </w:r>
      <w:r w:rsidRPr="0002419B">
        <w:rPr>
          <w:rFonts w:ascii="Times New Roman" w:hAnsi="Times New Roman" w:cs="Times New Roman"/>
          <w:color w:val="262626" w:themeColor="text1" w:themeTint="D9"/>
        </w:rPr>
        <w:t>Безопасность более высоких доз не исследовалась.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  <w:t>Витамины B1 и B6 проникают в грудное молоко.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  <w:t>Высокие дозы витамина B12 могут подавлять лактацию.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  <w:t>Применение препарата в период беременности противопоказано.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  <w:t>При нео</w:t>
      </w:r>
      <w:r w:rsidR="00805F01" w:rsidRPr="0002419B">
        <w:rPr>
          <w:rFonts w:ascii="Times New Roman" w:hAnsi="Times New Roman" w:cs="Times New Roman"/>
          <w:color w:val="262626" w:themeColor="text1" w:themeTint="D9"/>
        </w:rPr>
        <w:t xml:space="preserve">бходимости применения </w:t>
      </w:r>
      <w:r w:rsidR="00E010EF" w:rsidRPr="0002419B">
        <w:rPr>
          <w:rFonts w:ascii="Times New Roman" w:hAnsi="Times New Roman" w:cs="Times New Roman"/>
          <w:color w:val="262626" w:themeColor="text1" w:themeTint="D9"/>
        </w:rPr>
        <w:t>препарата</w:t>
      </w:r>
      <w:r w:rsidRPr="0002419B">
        <w:rPr>
          <w:rFonts w:ascii="Times New Roman" w:hAnsi="Times New Roman" w:cs="Times New Roman"/>
          <w:color w:val="262626" w:themeColor="text1" w:themeTint="D9"/>
        </w:rPr>
        <w:t xml:space="preserve"> во время кормления грудью кормление следует прекратить.</w:t>
      </w:r>
    </w:p>
    <w:p w:rsidR="00E010EF" w:rsidRPr="0002419B" w:rsidRDefault="00E010EF" w:rsidP="00E010EF">
      <w:pPr>
        <w:spacing w:after="0"/>
        <w:rPr>
          <w:rFonts w:ascii="Times New Roman" w:hAnsi="Times New Roman" w:cs="Times New Roman"/>
          <w:b/>
          <w:bCs/>
          <w:color w:val="262626" w:themeColor="text1" w:themeTint="D9"/>
        </w:rPr>
      </w:pPr>
      <w:r w:rsidRPr="0002419B">
        <w:rPr>
          <w:rFonts w:ascii="Times New Roman" w:hAnsi="Times New Roman" w:cs="Times New Roman"/>
          <w:b/>
          <w:bCs/>
          <w:color w:val="262626" w:themeColor="text1" w:themeTint="D9"/>
        </w:rPr>
        <w:t xml:space="preserve">Форма выпуска: </w:t>
      </w:r>
    </w:p>
    <w:p w:rsidR="00E010EF" w:rsidRPr="0002419B" w:rsidRDefault="00E010EF" w:rsidP="00E010EF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 xml:space="preserve">По 2 мл в ампуле, в упаковке 5 ампул.  </w:t>
      </w:r>
    </w:p>
    <w:p w:rsidR="00E010EF" w:rsidRPr="0002419B" w:rsidRDefault="00E010EF" w:rsidP="00E010EF">
      <w:pPr>
        <w:spacing w:after="0"/>
        <w:rPr>
          <w:rFonts w:ascii="Times New Roman" w:hAnsi="Times New Roman" w:cs="Times New Roman"/>
          <w:b/>
          <w:bCs/>
          <w:color w:val="262626" w:themeColor="text1" w:themeTint="D9"/>
        </w:rPr>
      </w:pPr>
      <w:r w:rsidRPr="0002419B">
        <w:rPr>
          <w:rFonts w:ascii="Times New Roman" w:hAnsi="Times New Roman" w:cs="Times New Roman"/>
          <w:b/>
          <w:bCs/>
          <w:color w:val="262626" w:themeColor="text1" w:themeTint="D9"/>
        </w:rPr>
        <w:t xml:space="preserve">Условия хранения: </w:t>
      </w:r>
    </w:p>
    <w:p w:rsidR="00E010EF" w:rsidRPr="0002419B" w:rsidRDefault="00E010EF" w:rsidP="00E010EF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bCs/>
          <w:color w:val="262626" w:themeColor="text1" w:themeTint="D9"/>
        </w:rPr>
        <w:t>Хранить</w:t>
      </w:r>
      <w:r w:rsidRPr="0002419B">
        <w:rPr>
          <w:rFonts w:ascii="Times New Roman" w:hAnsi="Times New Roman" w:cs="Times New Roman"/>
          <w:b/>
          <w:bCs/>
          <w:color w:val="262626" w:themeColor="text1" w:themeTint="D9"/>
        </w:rPr>
        <w:t xml:space="preserve"> </w:t>
      </w:r>
      <w:r w:rsidRPr="0002419B">
        <w:rPr>
          <w:rFonts w:ascii="Times New Roman" w:hAnsi="Times New Roman" w:cs="Times New Roman"/>
          <w:color w:val="262626" w:themeColor="text1" w:themeTint="D9"/>
        </w:rPr>
        <w:t>в защищенном от света месте, при температуре 2 – 8 °C (не замораживать), не выше 15 °C.</w:t>
      </w:r>
      <w:r w:rsidRPr="0002419B">
        <w:rPr>
          <w:rFonts w:ascii="Times New Roman" w:hAnsi="Times New Roman" w:cs="Times New Roman"/>
          <w:color w:val="262626" w:themeColor="text1" w:themeTint="D9"/>
        </w:rPr>
        <w:br/>
      </w:r>
      <w:r w:rsidRPr="0002419B">
        <w:rPr>
          <w:rFonts w:ascii="Times New Roman" w:hAnsi="Times New Roman" w:cs="Times New Roman"/>
          <w:b/>
          <w:bCs/>
          <w:color w:val="262626" w:themeColor="text1" w:themeTint="D9"/>
        </w:rPr>
        <w:t xml:space="preserve">Срок годности: </w:t>
      </w:r>
      <w:r w:rsidRPr="0002419B">
        <w:rPr>
          <w:rFonts w:ascii="Times New Roman" w:hAnsi="Times New Roman" w:cs="Times New Roman"/>
          <w:color w:val="262626" w:themeColor="text1" w:themeTint="D9"/>
        </w:rPr>
        <w:t xml:space="preserve"> </w:t>
      </w:r>
    </w:p>
    <w:p w:rsidR="00E010EF" w:rsidRPr="0002419B" w:rsidRDefault="00E010EF" w:rsidP="00E010EF">
      <w:pPr>
        <w:spacing w:after="0"/>
        <w:rPr>
          <w:rFonts w:ascii="Times New Roman" w:hAnsi="Times New Roman" w:cs="Times New Roman"/>
          <w:color w:val="262626" w:themeColor="text1" w:themeTint="D9"/>
        </w:rPr>
      </w:pPr>
      <w:proofErr w:type="gramStart"/>
      <w:r w:rsidRPr="0002419B">
        <w:rPr>
          <w:rFonts w:ascii="Times New Roman" w:hAnsi="Times New Roman" w:cs="Times New Roman"/>
          <w:color w:val="262626" w:themeColor="text1" w:themeTint="D9"/>
        </w:rPr>
        <w:t>Указан</w:t>
      </w:r>
      <w:proofErr w:type="gramEnd"/>
      <w:r w:rsidRPr="0002419B">
        <w:rPr>
          <w:rFonts w:ascii="Times New Roman" w:hAnsi="Times New Roman" w:cs="Times New Roman"/>
          <w:color w:val="262626" w:themeColor="text1" w:themeTint="D9"/>
        </w:rPr>
        <w:t xml:space="preserve"> на упаковке.</w:t>
      </w:r>
      <w:bookmarkStart w:id="11" w:name="12"/>
      <w:bookmarkStart w:id="12" w:name="13"/>
      <w:bookmarkStart w:id="13" w:name="14"/>
      <w:bookmarkEnd w:id="11"/>
      <w:bookmarkEnd w:id="12"/>
      <w:bookmarkEnd w:id="13"/>
    </w:p>
    <w:p w:rsidR="00827BE8" w:rsidRPr="0002419B" w:rsidRDefault="00827BE8" w:rsidP="00E010EF">
      <w:pPr>
        <w:spacing w:after="0"/>
        <w:rPr>
          <w:rFonts w:ascii="Times New Roman" w:hAnsi="Times New Roman" w:cs="Times New Roman"/>
          <w:b/>
          <w:i/>
          <w:iCs/>
          <w:color w:val="262626" w:themeColor="text1" w:themeTint="D9"/>
        </w:rPr>
      </w:pPr>
      <w:r w:rsidRPr="0002419B">
        <w:rPr>
          <w:rFonts w:ascii="Times New Roman" w:hAnsi="Times New Roman" w:cs="Times New Roman"/>
          <w:b/>
          <w:color w:val="262626" w:themeColor="text1" w:themeTint="D9"/>
        </w:rPr>
        <w:t>Условия отпуска</w:t>
      </w:r>
    </w:p>
    <w:p w:rsidR="00827BE8" w:rsidRPr="0002419B" w:rsidRDefault="00827BE8" w:rsidP="00827BE8">
      <w:pPr>
        <w:spacing w:after="0"/>
        <w:rPr>
          <w:rFonts w:ascii="Times New Roman" w:hAnsi="Times New Roman" w:cs="Times New Roman"/>
          <w:color w:val="262626" w:themeColor="text1" w:themeTint="D9"/>
        </w:rPr>
      </w:pPr>
      <w:r w:rsidRPr="0002419B">
        <w:rPr>
          <w:rFonts w:ascii="Times New Roman" w:hAnsi="Times New Roman" w:cs="Times New Roman"/>
          <w:color w:val="262626" w:themeColor="text1" w:themeTint="D9"/>
        </w:rPr>
        <w:t>По рецепту врача.</w:t>
      </w:r>
    </w:p>
    <w:p w:rsidR="009143B1" w:rsidRPr="0002419B" w:rsidRDefault="00827BE8" w:rsidP="00B12259">
      <w:pPr>
        <w:spacing w:after="0"/>
        <w:rPr>
          <w:rFonts w:ascii="Times New Roman" w:hAnsi="Times New Roman" w:cs="Times New Roman"/>
          <w:b/>
          <w:bCs/>
          <w:color w:val="262626" w:themeColor="text1" w:themeTint="D9"/>
        </w:rPr>
      </w:pPr>
      <w:bookmarkStart w:id="14" w:name="15"/>
      <w:bookmarkEnd w:id="14"/>
      <w:r w:rsidRPr="0002419B">
        <w:rPr>
          <w:rFonts w:ascii="Times New Roman" w:hAnsi="Times New Roman" w:cs="Times New Roman"/>
          <w:color w:val="262626" w:themeColor="text1" w:themeTint="D9"/>
        </w:rPr>
        <w:br/>
      </w:r>
      <w:r w:rsidR="009143B1" w:rsidRPr="0002419B">
        <w:rPr>
          <w:rFonts w:ascii="Times New Roman" w:hAnsi="Times New Roman" w:cs="Times New Roman"/>
          <w:b/>
          <w:bCs/>
          <w:color w:val="262626" w:themeColor="text1" w:themeTint="D9"/>
        </w:rPr>
        <w:t>Произведено для:</w:t>
      </w:r>
    </w:p>
    <w:p w:rsidR="009143B1" w:rsidRPr="0002419B" w:rsidRDefault="009143B1" w:rsidP="00B12259">
      <w:pPr>
        <w:spacing w:after="0"/>
        <w:rPr>
          <w:rFonts w:ascii="Times New Roman" w:hAnsi="Times New Roman" w:cs="Times New Roman"/>
          <w:b/>
        </w:rPr>
      </w:pPr>
      <w:r w:rsidRPr="0002419B">
        <w:rPr>
          <w:rFonts w:ascii="Times New Roman" w:hAnsi="Times New Roman" w:cs="Times New Roman"/>
          <w:b/>
        </w:rPr>
        <w:t>MAXX-PHARM LTD.</w:t>
      </w:r>
    </w:p>
    <w:p w:rsidR="009143B1" w:rsidRPr="0002419B" w:rsidRDefault="009143B1" w:rsidP="00B12259">
      <w:pPr>
        <w:spacing w:after="0"/>
        <w:rPr>
          <w:rFonts w:ascii="Times New Roman" w:hAnsi="Times New Roman" w:cs="Times New Roman"/>
          <w:b/>
        </w:rPr>
      </w:pPr>
      <w:r w:rsidRPr="0002419B">
        <w:rPr>
          <w:rFonts w:ascii="Times New Roman" w:hAnsi="Times New Roman" w:cs="Times New Roman"/>
          <w:b/>
        </w:rPr>
        <w:t>Лондон, Великобритания</w:t>
      </w:r>
    </w:p>
    <w:p w:rsidR="00F80AD5" w:rsidRPr="0002419B" w:rsidRDefault="00F80AD5" w:rsidP="00B12259">
      <w:pPr>
        <w:spacing w:after="0"/>
        <w:rPr>
          <w:rFonts w:ascii="Times New Roman" w:hAnsi="Times New Roman" w:cs="Times New Roman"/>
          <w:b/>
        </w:rPr>
      </w:pPr>
    </w:p>
    <w:p w:rsidR="00B12259" w:rsidRPr="00B12259" w:rsidRDefault="00B12259" w:rsidP="00AB1083">
      <w:pPr>
        <w:pStyle w:val="3"/>
        <w:spacing w:before="0" w:beforeAutospacing="0" w:after="0" w:afterAutospacing="0"/>
        <w:rPr>
          <w:rFonts w:asciiTheme="majorHAnsi" w:hAnsiTheme="majorHAnsi" w:cstheme="minorHAnsi"/>
          <w:color w:val="262626" w:themeColor="text1" w:themeTint="D9"/>
          <w:sz w:val="24"/>
        </w:rPr>
      </w:pPr>
      <w:bookmarkStart w:id="15" w:name="_GoBack"/>
      <w:bookmarkEnd w:id="15"/>
    </w:p>
    <w:sectPr w:rsidR="00B12259" w:rsidRPr="00B12259" w:rsidSect="004E1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57" w:rsidRDefault="00F32B57" w:rsidP="00B7394C">
      <w:pPr>
        <w:spacing w:after="0" w:line="240" w:lineRule="auto"/>
      </w:pPr>
      <w:r>
        <w:separator/>
      </w:r>
    </w:p>
  </w:endnote>
  <w:endnote w:type="continuationSeparator" w:id="0">
    <w:p w:rsidR="00F32B57" w:rsidRDefault="00F32B57" w:rsidP="00B7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B7394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B7394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B739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57" w:rsidRDefault="00F32B57" w:rsidP="00B7394C">
      <w:pPr>
        <w:spacing w:after="0" w:line="240" w:lineRule="auto"/>
      </w:pPr>
      <w:r>
        <w:separator/>
      </w:r>
    </w:p>
  </w:footnote>
  <w:footnote w:type="continuationSeparator" w:id="0">
    <w:p w:rsidR="00F32B57" w:rsidRDefault="00F32B57" w:rsidP="00B7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F32B57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48454" o:spid="_x0000_s2051" type="#_x0000_t75" alt="" style="position:absolute;margin-left:0;margin-top:0;width:746.25pt;height:259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F32B57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48455" o:spid="_x0000_s2050" type="#_x0000_t75" alt="" style="position:absolute;margin-left:0;margin-top:0;width:746.25pt;height:259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4C" w:rsidRDefault="00F32B57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48453" o:spid="_x0000_s2049" type="#_x0000_t75" alt="" style="position:absolute;margin-left:0;margin-top:0;width:746.25pt;height:259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96"/>
    <w:rsid w:val="00010738"/>
    <w:rsid w:val="0002419B"/>
    <w:rsid w:val="00077E37"/>
    <w:rsid w:val="00091546"/>
    <w:rsid w:val="00140820"/>
    <w:rsid w:val="001F3A70"/>
    <w:rsid w:val="002708F7"/>
    <w:rsid w:val="003365BF"/>
    <w:rsid w:val="00396B02"/>
    <w:rsid w:val="004D2BA0"/>
    <w:rsid w:val="004E1335"/>
    <w:rsid w:val="0057549B"/>
    <w:rsid w:val="0071188B"/>
    <w:rsid w:val="00805F01"/>
    <w:rsid w:val="00827BE8"/>
    <w:rsid w:val="00880273"/>
    <w:rsid w:val="008C1D6B"/>
    <w:rsid w:val="009143B1"/>
    <w:rsid w:val="00922515"/>
    <w:rsid w:val="009518E8"/>
    <w:rsid w:val="00996B9E"/>
    <w:rsid w:val="009D43F3"/>
    <w:rsid w:val="00A375EE"/>
    <w:rsid w:val="00A758F3"/>
    <w:rsid w:val="00AB1083"/>
    <w:rsid w:val="00B12259"/>
    <w:rsid w:val="00B7394C"/>
    <w:rsid w:val="00CA2033"/>
    <w:rsid w:val="00CC52A9"/>
    <w:rsid w:val="00E010EF"/>
    <w:rsid w:val="00F30012"/>
    <w:rsid w:val="00F32B57"/>
    <w:rsid w:val="00F80AD5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semiHidden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3A70"/>
    <w:rPr>
      <w:b/>
      <w:bCs/>
    </w:rPr>
  </w:style>
  <w:style w:type="paragraph" w:styleId="a8">
    <w:name w:val="header"/>
    <w:basedOn w:val="a"/>
    <w:link w:val="a9"/>
    <w:uiPriority w:val="99"/>
    <w:unhideWhenUsed/>
    <w:rsid w:val="00B7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394C"/>
  </w:style>
  <w:style w:type="paragraph" w:styleId="aa">
    <w:name w:val="footer"/>
    <w:basedOn w:val="a"/>
    <w:link w:val="ab"/>
    <w:uiPriority w:val="99"/>
    <w:unhideWhenUsed/>
    <w:rsid w:val="00B7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3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semiHidden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F3A70"/>
    <w:rPr>
      <w:b/>
      <w:bCs/>
    </w:rPr>
  </w:style>
  <w:style w:type="paragraph" w:styleId="a8">
    <w:name w:val="header"/>
    <w:basedOn w:val="a"/>
    <w:link w:val="a9"/>
    <w:uiPriority w:val="99"/>
    <w:unhideWhenUsed/>
    <w:rsid w:val="00B7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394C"/>
  </w:style>
  <w:style w:type="paragraph" w:styleId="aa">
    <w:name w:val="footer"/>
    <w:basedOn w:val="a"/>
    <w:link w:val="ab"/>
    <w:uiPriority w:val="99"/>
    <w:unhideWhenUsed/>
    <w:rsid w:val="00B7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3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489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76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750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9380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2417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2340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72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54020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3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9628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0103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8827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2063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3238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1372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5044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1227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67759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3787">
                      <w:marLeft w:val="13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274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2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56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3218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D5F0FD"/>
                                    <w:left w:val="single" w:sz="6" w:space="0" w:color="D5F0FD"/>
                                    <w:bottom w:val="none" w:sz="0" w:space="0" w:color="D5F0FD"/>
                                    <w:right w:val="none" w:sz="0" w:space="0" w:color="D5F0FD"/>
                                  </w:divBdr>
                                  <w:divsChild>
                                    <w:div w:id="503056397">
                                      <w:marLeft w:val="-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9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48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0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6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60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73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6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30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0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38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70804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549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252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42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6553-77B2-49FA-B1E0-980F7C14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23</cp:revision>
  <dcterms:created xsi:type="dcterms:W3CDTF">2020-02-01T12:06:00Z</dcterms:created>
  <dcterms:modified xsi:type="dcterms:W3CDTF">2024-01-22T03:22:00Z</dcterms:modified>
</cp:coreProperties>
</file>