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31225" w14:textId="47CA163B" w:rsidR="00A831CC" w:rsidRPr="005D6DDA" w:rsidRDefault="00A831CC" w:rsidP="00964C7F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D6DDA">
        <w:rPr>
          <w:rFonts w:ascii="Times New Roman" w:hAnsi="Times New Roman" w:cs="Times New Roman"/>
          <w:sz w:val="14"/>
          <w:szCs w:val="14"/>
        </w:rPr>
        <w:t>МОБИКОРТ</w:t>
      </w:r>
    </w:p>
    <w:p w14:paraId="6BE94A34" w14:textId="5E43F670" w:rsidR="0014334E" w:rsidRPr="005D6DDA" w:rsidRDefault="00A831CC" w:rsidP="00964C7F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D6DDA">
        <w:rPr>
          <w:rFonts w:ascii="Times New Roman" w:hAnsi="Times New Roman" w:cs="Times New Roman"/>
          <w:sz w:val="14"/>
          <w:szCs w:val="14"/>
        </w:rPr>
        <w:t>Инструкция</w:t>
      </w:r>
    </w:p>
    <w:p w14:paraId="6FD09138" w14:textId="17F8E98A" w:rsidR="0014334E" w:rsidRPr="005D6DDA" w:rsidRDefault="0014334E" w:rsidP="00964C7F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5D6DDA">
        <w:rPr>
          <w:rFonts w:ascii="Times New Roman" w:hAnsi="Times New Roman" w:cs="Times New Roman"/>
          <w:b/>
          <w:sz w:val="14"/>
          <w:szCs w:val="14"/>
        </w:rPr>
        <w:t xml:space="preserve">по медицинскому применению </w:t>
      </w:r>
      <w:r w:rsidR="00A831CC" w:rsidRPr="005D6DDA">
        <w:rPr>
          <w:rFonts w:ascii="Times New Roman" w:hAnsi="Times New Roman" w:cs="Times New Roman"/>
          <w:b/>
          <w:sz w:val="14"/>
          <w:szCs w:val="14"/>
        </w:rPr>
        <w:t xml:space="preserve">лекарственного средства </w:t>
      </w:r>
    </w:p>
    <w:p w14:paraId="474BAE2F" w14:textId="77777777" w:rsidR="00AA5F36" w:rsidRPr="005D6DDA" w:rsidRDefault="00AA5F36" w:rsidP="0014334E">
      <w:pPr>
        <w:pStyle w:val="30"/>
        <w:shd w:val="clear" w:color="auto" w:fill="auto"/>
        <w:spacing w:before="0" w:after="0" w:line="240" w:lineRule="auto"/>
        <w:jc w:val="both"/>
        <w:rPr>
          <w:sz w:val="14"/>
          <w:szCs w:val="14"/>
        </w:rPr>
      </w:pPr>
    </w:p>
    <w:p w14:paraId="7AA81B66" w14:textId="48F172B3" w:rsidR="0014334E" w:rsidRPr="005D6DDA" w:rsidRDefault="0014334E" w:rsidP="0014334E">
      <w:pPr>
        <w:pStyle w:val="30"/>
        <w:shd w:val="clear" w:color="auto" w:fill="auto"/>
        <w:spacing w:before="0" w:after="0" w:line="240" w:lineRule="auto"/>
        <w:jc w:val="both"/>
        <w:rPr>
          <w:sz w:val="14"/>
          <w:szCs w:val="14"/>
        </w:rPr>
      </w:pPr>
      <w:r w:rsidRPr="005D6DDA">
        <w:rPr>
          <w:sz w:val="14"/>
          <w:szCs w:val="14"/>
        </w:rPr>
        <w:t xml:space="preserve">Торговое название препарата: </w:t>
      </w:r>
      <w:proofErr w:type="spellStart"/>
      <w:r w:rsidR="00A831CC" w:rsidRPr="005D6DDA">
        <w:rPr>
          <w:b w:val="0"/>
          <w:sz w:val="14"/>
          <w:szCs w:val="14"/>
        </w:rPr>
        <w:t>Мобикорт</w:t>
      </w:r>
      <w:proofErr w:type="spellEnd"/>
      <w:r w:rsidR="00A831CC" w:rsidRPr="005D6DDA">
        <w:rPr>
          <w:b w:val="0"/>
          <w:sz w:val="14"/>
          <w:szCs w:val="14"/>
        </w:rPr>
        <w:t>.</w:t>
      </w:r>
    </w:p>
    <w:p w14:paraId="3D6612F9" w14:textId="77777777" w:rsidR="00AA5F36" w:rsidRPr="005D6DDA" w:rsidRDefault="0014334E" w:rsidP="0014334E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4"/>
          <w:szCs w:val="14"/>
        </w:rPr>
      </w:pPr>
      <w:r w:rsidRPr="005D6DDA">
        <w:rPr>
          <w:sz w:val="14"/>
          <w:szCs w:val="14"/>
        </w:rPr>
        <w:t xml:space="preserve">Международное непатентованное название: </w:t>
      </w:r>
    </w:p>
    <w:p w14:paraId="344DC2AD" w14:textId="0FF2A264" w:rsidR="0014334E" w:rsidRPr="005D6DDA" w:rsidRDefault="00A831CC" w:rsidP="0014334E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4"/>
          <w:szCs w:val="14"/>
        </w:rPr>
      </w:pPr>
      <w:proofErr w:type="spellStart"/>
      <w:r w:rsidRPr="005D6DDA">
        <w:rPr>
          <w:b w:val="0"/>
          <w:sz w:val="14"/>
          <w:szCs w:val="14"/>
        </w:rPr>
        <w:t>Мелоксикам</w:t>
      </w:r>
      <w:proofErr w:type="spellEnd"/>
      <w:r w:rsidRPr="005D6DDA">
        <w:rPr>
          <w:b w:val="0"/>
          <w:sz w:val="14"/>
          <w:szCs w:val="14"/>
        </w:rPr>
        <w:t xml:space="preserve"> + </w:t>
      </w:r>
      <w:proofErr w:type="spellStart"/>
      <w:r w:rsidRPr="005D6DDA">
        <w:rPr>
          <w:b w:val="0"/>
          <w:sz w:val="14"/>
          <w:szCs w:val="14"/>
        </w:rPr>
        <w:t>Цианокобаламин</w:t>
      </w:r>
      <w:proofErr w:type="spellEnd"/>
      <w:r w:rsidRPr="005D6DDA">
        <w:rPr>
          <w:b w:val="0"/>
          <w:sz w:val="14"/>
          <w:szCs w:val="14"/>
        </w:rPr>
        <w:t xml:space="preserve"> + </w:t>
      </w:r>
      <w:proofErr w:type="spellStart"/>
      <w:r w:rsidRPr="005D6DDA">
        <w:rPr>
          <w:b w:val="0"/>
          <w:sz w:val="14"/>
          <w:szCs w:val="14"/>
        </w:rPr>
        <w:t>Бетаметазон</w:t>
      </w:r>
      <w:proofErr w:type="spellEnd"/>
      <w:r w:rsidRPr="005D6DDA">
        <w:rPr>
          <w:b w:val="0"/>
          <w:sz w:val="14"/>
          <w:szCs w:val="14"/>
        </w:rPr>
        <w:t>.</w:t>
      </w:r>
    </w:p>
    <w:p w14:paraId="6E72EDEE" w14:textId="3AEB2941" w:rsidR="0014334E" w:rsidRPr="005D6DDA" w:rsidRDefault="0014334E" w:rsidP="0014334E">
      <w:pPr>
        <w:pStyle w:val="30"/>
        <w:shd w:val="clear" w:color="auto" w:fill="auto"/>
        <w:spacing w:before="0" w:after="0" w:line="240" w:lineRule="auto"/>
        <w:ind w:right="-1"/>
        <w:jc w:val="left"/>
        <w:rPr>
          <w:sz w:val="14"/>
          <w:szCs w:val="14"/>
        </w:rPr>
      </w:pPr>
      <w:r w:rsidRPr="005D6DDA">
        <w:rPr>
          <w:sz w:val="14"/>
          <w:szCs w:val="14"/>
        </w:rPr>
        <w:t xml:space="preserve">Лекарственная форма: </w:t>
      </w:r>
      <w:r w:rsidR="00A831CC" w:rsidRPr="005D6DDA">
        <w:rPr>
          <w:b w:val="0"/>
          <w:sz w:val="14"/>
          <w:szCs w:val="14"/>
        </w:rPr>
        <w:t>Таблетки, покрытые</w:t>
      </w:r>
      <w:r w:rsidRPr="005D6DDA">
        <w:rPr>
          <w:b w:val="0"/>
          <w:sz w:val="14"/>
          <w:szCs w:val="14"/>
        </w:rPr>
        <w:t xml:space="preserve"> кишечнорастворимой оболочкой</w:t>
      </w:r>
      <w:r w:rsidR="00A831CC" w:rsidRPr="005D6DDA">
        <w:rPr>
          <w:b w:val="0"/>
          <w:sz w:val="14"/>
          <w:szCs w:val="14"/>
        </w:rPr>
        <w:t>.</w:t>
      </w:r>
    </w:p>
    <w:p w14:paraId="49CF7051" w14:textId="7F87745C" w:rsidR="0014334E" w:rsidRPr="005D6DDA" w:rsidRDefault="0014334E" w:rsidP="00964C7F">
      <w:pPr>
        <w:pStyle w:val="10"/>
        <w:keepNext/>
        <w:keepLines/>
        <w:shd w:val="clear" w:color="auto" w:fill="auto"/>
        <w:spacing w:before="0" w:line="240" w:lineRule="auto"/>
        <w:rPr>
          <w:i/>
          <w:sz w:val="14"/>
          <w:szCs w:val="14"/>
        </w:rPr>
      </w:pPr>
      <w:bookmarkStart w:id="0" w:name="bookmark0"/>
      <w:r w:rsidRPr="005D6DDA">
        <w:rPr>
          <w:sz w:val="14"/>
          <w:szCs w:val="14"/>
        </w:rPr>
        <w:t>Состав:</w:t>
      </w:r>
      <w:bookmarkEnd w:id="0"/>
      <w:r w:rsidR="00A831CC" w:rsidRPr="005D6DDA">
        <w:rPr>
          <w:sz w:val="14"/>
          <w:szCs w:val="14"/>
        </w:rPr>
        <w:t xml:space="preserve"> </w:t>
      </w:r>
      <w:proofErr w:type="gramStart"/>
      <w:r w:rsidR="00AA5F36" w:rsidRPr="005D6DDA">
        <w:rPr>
          <w:b w:val="0"/>
          <w:i/>
          <w:sz w:val="14"/>
          <w:szCs w:val="14"/>
        </w:rPr>
        <w:t xml:space="preserve">Каждая </w:t>
      </w:r>
      <w:r w:rsidR="00610E7C" w:rsidRPr="005D6DDA">
        <w:rPr>
          <w:b w:val="0"/>
          <w:i/>
          <w:sz w:val="14"/>
          <w:szCs w:val="14"/>
        </w:rPr>
        <w:t>таблетка,</w:t>
      </w:r>
      <w:r w:rsidR="00AA5F36" w:rsidRPr="005D6DDA">
        <w:rPr>
          <w:b w:val="0"/>
          <w:i/>
          <w:sz w:val="14"/>
          <w:szCs w:val="14"/>
        </w:rPr>
        <w:t xml:space="preserve"> покрытая</w:t>
      </w:r>
      <w:r w:rsidRPr="005D6DDA">
        <w:rPr>
          <w:b w:val="0"/>
          <w:i/>
          <w:sz w:val="14"/>
          <w:szCs w:val="14"/>
        </w:rPr>
        <w:t xml:space="preserve"> кишечнорастворимой оболочкой содерж</w:t>
      </w:r>
      <w:r w:rsidR="00AA5F36" w:rsidRPr="005D6DDA">
        <w:rPr>
          <w:b w:val="0"/>
          <w:i/>
          <w:sz w:val="14"/>
          <w:szCs w:val="14"/>
        </w:rPr>
        <w:t>и</w:t>
      </w:r>
      <w:r w:rsidRPr="005D6DDA">
        <w:rPr>
          <w:b w:val="0"/>
          <w:i/>
          <w:sz w:val="14"/>
          <w:szCs w:val="14"/>
        </w:rPr>
        <w:t>т</w:t>
      </w:r>
      <w:proofErr w:type="gramEnd"/>
      <w:r w:rsidRPr="005D6DDA">
        <w:rPr>
          <w:b w:val="0"/>
          <w:i/>
          <w:sz w:val="14"/>
          <w:szCs w:val="14"/>
        </w:rPr>
        <w:t>:</w:t>
      </w:r>
    </w:p>
    <w:p w14:paraId="3614AF37" w14:textId="79DF0C73" w:rsidR="0014334E" w:rsidRPr="005D6DDA" w:rsidRDefault="0014334E" w:rsidP="0014334E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proofErr w:type="spellStart"/>
      <w:r w:rsidRPr="005D6DDA">
        <w:rPr>
          <w:b w:val="0"/>
          <w:sz w:val="14"/>
          <w:szCs w:val="14"/>
        </w:rPr>
        <w:t>Мелоксикам</w:t>
      </w:r>
      <w:proofErr w:type="spellEnd"/>
      <w:r w:rsidRPr="005D6DDA">
        <w:rPr>
          <w:b w:val="0"/>
          <w:sz w:val="14"/>
          <w:szCs w:val="14"/>
        </w:rPr>
        <w:t xml:space="preserve"> </w:t>
      </w:r>
      <w:r w:rsidRPr="005D6DDA">
        <w:rPr>
          <w:b w:val="0"/>
          <w:sz w:val="14"/>
          <w:szCs w:val="14"/>
          <w:lang w:val="en-US"/>
        </w:rPr>
        <w:t>USP</w:t>
      </w:r>
      <w:r w:rsidRPr="005D6DDA">
        <w:rPr>
          <w:b w:val="0"/>
          <w:sz w:val="14"/>
          <w:szCs w:val="14"/>
        </w:rPr>
        <w:t>………………………… 15</w:t>
      </w:r>
      <w:r w:rsidR="00A831CC" w:rsidRPr="005D6DDA">
        <w:rPr>
          <w:b w:val="0"/>
          <w:sz w:val="14"/>
          <w:szCs w:val="14"/>
        </w:rPr>
        <w:t xml:space="preserve"> </w:t>
      </w:r>
      <w:r w:rsidRPr="005D6DDA">
        <w:rPr>
          <w:b w:val="0"/>
          <w:sz w:val="14"/>
          <w:szCs w:val="14"/>
        </w:rPr>
        <w:t>мг</w:t>
      </w:r>
      <w:r w:rsidR="00A831CC" w:rsidRPr="005D6DDA">
        <w:rPr>
          <w:b w:val="0"/>
          <w:sz w:val="14"/>
          <w:szCs w:val="14"/>
        </w:rPr>
        <w:t>;</w:t>
      </w:r>
    </w:p>
    <w:p w14:paraId="52929803" w14:textId="7AFA858C" w:rsidR="0014334E" w:rsidRPr="005D6DDA" w:rsidRDefault="0014334E" w:rsidP="0014334E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proofErr w:type="spellStart"/>
      <w:r w:rsidRPr="005D6DDA">
        <w:rPr>
          <w:b w:val="0"/>
          <w:sz w:val="14"/>
          <w:szCs w:val="14"/>
        </w:rPr>
        <w:t>Цианокобаламин</w:t>
      </w:r>
      <w:proofErr w:type="spellEnd"/>
      <w:r w:rsidRPr="005D6DDA">
        <w:rPr>
          <w:b w:val="0"/>
          <w:sz w:val="14"/>
          <w:szCs w:val="14"/>
        </w:rPr>
        <w:t xml:space="preserve"> </w:t>
      </w:r>
      <w:r w:rsidRPr="005D6DDA">
        <w:rPr>
          <w:b w:val="0"/>
          <w:sz w:val="14"/>
          <w:szCs w:val="14"/>
          <w:lang w:val="en-US"/>
        </w:rPr>
        <w:t>USP</w:t>
      </w:r>
      <w:r w:rsidR="00AA5F36" w:rsidRPr="005D6DDA">
        <w:rPr>
          <w:b w:val="0"/>
          <w:sz w:val="14"/>
          <w:szCs w:val="14"/>
        </w:rPr>
        <w:t xml:space="preserve"> ……………………</w:t>
      </w:r>
      <w:r w:rsidR="00A831CC" w:rsidRPr="005D6DDA">
        <w:rPr>
          <w:b w:val="0"/>
          <w:sz w:val="14"/>
          <w:szCs w:val="14"/>
        </w:rPr>
        <w:t>2,</w:t>
      </w:r>
      <w:r w:rsidRPr="005D6DDA">
        <w:rPr>
          <w:b w:val="0"/>
          <w:sz w:val="14"/>
          <w:szCs w:val="14"/>
        </w:rPr>
        <w:t>5</w:t>
      </w:r>
      <w:r w:rsidR="00A831CC" w:rsidRPr="005D6DDA">
        <w:rPr>
          <w:b w:val="0"/>
          <w:sz w:val="14"/>
          <w:szCs w:val="14"/>
        </w:rPr>
        <w:t xml:space="preserve"> </w:t>
      </w:r>
      <w:r w:rsidRPr="005D6DDA">
        <w:rPr>
          <w:b w:val="0"/>
          <w:sz w:val="14"/>
          <w:szCs w:val="14"/>
        </w:rPr>
        <w:t>мг</w:t>
      </w:r>
      <w:r w:rsidR="00A831CC" w:rsidRPr="005D6DDA">
        <w:rPr>
          <w:b w:val="0"/>
          <w:sz w:val="14"/>
          <w:szCs w:val="14"/>
        </w:rPr>
        <w:t>;</w:t>
      </w:r>
    </w:p>
    <w:p w14:paraId="5CDE8C6C" w14:textId="22B1F3F9" w:rsidR="0014334E" w:rsidRPr="005D6DDA" w:rsidRDefault="0014334E" w:rsidP="0014334E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proofErr w:type="spellStart"/>
      <w:r w:rsidRPr="005D6DDA">
        <w:rPr>
          <w:b w:val="0"/>
          <w:sz w:val="14"/>
          <w:szCs w:val="14"/>
        </w:rPr>
        <w:t>Бетаме</w:t>
      </w:r>
      <w:r w:rsidR="003C78CA" w:rsidRPr="005D6DDA">
        <w:rPr>
          <w:b w:val="0"/>
          <w:sz w:val="14"/>
          <w:szCs w:val="14"/>
        </w:rPr>
        <w:t>та</w:t>
      </w:r>
      <w:r w:rsidRPr="005D6DDA">
        <w:rPr>
          <w:b w:val="0"/>
          <w:sz w:val="14"/>
          <w:szCs w:val="14"/>
        </w:rPr>
        <w:t>зон</w:t>
      </w:r>
      <w:proofErr w:type="spellEnd"/>
      <w:r w:rsidRPr="005D6DDA">
        <w:rPr>
          <w:b w:val="0"/>
          <w:sz w:val="14"/>
          <w:szCs w:val="14"/>
        </w:rPr>
        <w:t xml:space="preserve"> натрия фосфат </w:t>
      </w:r>
      <w:r w:rsidRPr="005D6DDA">
        <w:rPr>
          <w:b w:val="0"/>
          <w:sz w:val="14"/>
          <w:szCs w:val="14"/>
          <w:lang w:val="en-US"/>
        </w:rPr>
        <w:t>USP</w:t>
      </w:r>
      <w:r w:rsidR="00AA5F36" w:rsidRPr="005D6DDA">
        <w:rPr>
          <w:b w:val="0"/>
          <w:sz w:val="14"/>
          <w:szCs w:val="14"/>
        </w:rPr>
        <w:t>………</w:t>
      </w:r>
      <w:r w:rsidR="00A831CC" w:rsidRPr="005D6DDA">
        <w:rPr>
          <w:b w:val="0"/>
          <w:sz w:val="14"/>
          <w:szCs w:val="14"/>
        </w:rPr>
        <w:t>0,</w:t>
      </w:r>
      <w:r w:rsidRPr="005D6DDA">
        <w:rPr>
          <w:b w:val="0"/>
          <w:sz w:val="14"/>
          <w:szCs w:val="14"/>
        </w:rPr>
        <w:t>30</w:t>
      </w:r>
      <w:r w:rsidR="00AA5F36" w:rsidRPr="005D6DDA">
        <w:rPr>
          <w:b w:val="0"/>
          <w:sz w:val="14"/>
          <w:szCs w:val="14"/>
        </w:rPr>
        <w:t xml:space="preserve"> </w:t>
      </w:r>
      <w:r w:rsidRPr="005D6DDA">
        <w:rPr>
          <w:b w:val="0"/>
          <w:sz w:val="14"/>
          <w:szCs w:val="14"/>
        </w:rPr>
        <w:t>мг</w:t>
      </w:r>
      <w:r w:rsidR="00A831CC" w:rsidRPr="005D6DDA">
        <w:rPr>
          <w:b w:val="0"/>
          <w:sz w:val="14"/>
          <w:szCs w:val="14"/>
        </w:rPr>
        <w:t>.</w:t>
      </w:r>
    </w:p>
    <w:p w14:paraId="7E7B04E5" w14:textId="3DBE0875" w:rsidR="00964C7F" w:rsidRPr="005D6DDA" w:rsidRDefault="00964C7F" w:rsidP="00964C7F">
      <w:pPr>
        <w:pStyle w:val="20"/>
        <w:shd w:val="clear" w:color="auto" w:fill="auto"/>
        <w:spacing w:after="0" w:line="240" w:lineRule="auto"/>
        <w:ind w:right="-1"/>
        <w:jc w:val="both"/>
        <w:rPr>
          <w:rStyle w:val="22"/>
          <w:rFonts w:eastAsia="Calibri"/>
          <w:b/>
          <w:sz w:val="14"/>
          <w:szCs w:val="14"/>
        </w:rPr>
      </w:pPr>
      <w:proofErr w:type="spellStart"/>
      <w:proofErr w:type="gramStart"/>
      <w:r w:rsidRPr="005D6DDA">
        <w:rPr>
          <w:rStyle w:val="22"/>
          <w:rFonts w:eastAsia="Calibri"/>
          <w:b/>
          <w:sz w:val="14"/>
          <w:szCs w:val="14"/>
        </w:rPr>
        <w:t>Фармако</w:t>
      </w:r>
      <w:proofErr w:type="spellEnd"/>
      <w:r w:rsidR="00AA5F36" w:rsidRPr="005D6DDA">
        <w:rPr>
          <w:rStyle w:val="22"/>
          <w:rFonts w:eastAsia="Calibri"/>
          <w:b/>
          <w:sz w:val="14"/>
          <w:szCs w:val="14"/>
        </w:rPr>
        <w:t>-</w:t>
      </w:r>
      <w:r w:rsidRPr="005D6DDA">
        <w:rPr>
          <w:rStyle w:val="22"/>
          <w:rFonts w:eastAsia="Calibri"/>
          <w:b/>
          <w:sz w:val="14"/>
          <w:szCs w:val="14"/>
        </w:rPr>
        <w:t>терапевтическая</w:t>
      </w:r>
      <w:proofErr w:type="gramEnd"/>
      <w:r w:rsidRPr="005D6DDA">
        <w:rPr>
          <w:rStyle w:val="22"/>
          <w:rFonts w:eastAsia="Calibri"/>
          <w:b/>
          <w:sz w:val="14"/>
          <w:szCs w:val="14"/>
        </w:rPr>
        <w:t xml:space="preserve"> группа: </w:t>
      </w:r>
      <w:r w:rsidRPr="005D6DDA">
        <w:rPr>
          <w:rStyle w:val="22"/>
          <w:rFonts w:eastAsia="Calibri"/>
          <w:sz w:val="14"/>
          <w:szCs w:val="14"/>
        </w:rPr>
        <w:t xml:space="preserve">Нестероидные противовоспалительные средства. </w:t>
      </w:r>
      <w:proofErr w:type="spellStart"/>
      <w:r w:rsidRPr="005D6DDA">
        <w:rPr>
          <w:rStyle w:val="22"/>
          <w:rFonts w:eastAsia="Calibri"/>
          <w:sz w:val="14"/>
          <w:szCs w:val="14"/>
        </w:rPr>
        <w:t>Мелоксикам</w:t>
      </w:r>
      <w:proofErr w:type="spellEnd"/>
      <w:r w:rsidRPr="005D6DDA">
        <w:rPr>
          <w:rStyle w:val="22"/>
          <w:rFonts w:eastAsia="Calibri"/>
          <w:sz w:val="14"/>
          <w:szCs w:val="14"/>
        </w:rPr>
        <w:t xml:space="preserve"> </w:t>
      </w:r>
      <w:r w:rsidR="00AA5F36" w:rsidRPr="005D6DDA">
        <w:rPr>
          <w:rStyle w:val="22"/>
          <w:rFonts w:eastAsia="Calibri"/>
          <w:sz w:val="14"/>
          <w:szCs w:val="14"/>
        </w:rPr>
        <w:t xml:space="preserve">в </w:t>
      </w:r>
      <w:r w:rsidRPr="005D6DDA">
        <w:rPr>
          <w:rStyle w:val="22"/>
          <w:rFonts w:eastAsia="Calibri"/>
          <w:sz w:val="14"/>
          <w:szCs w:val="14"/>
        </w:rPr>
        <w:t>комбинации.</w:t>
      </w:r>
      <w:r w:rsidR="00A831CC" w:rsidRPr="005D6DDA">
        <w:rPr>
          <w:rFonts w:ascii="Times New Roman" w:hAnsi="Times New Roman" w:cs="Times New Roman"/>
          <w:sz w:val="14"/>
          <w:szCs w:val="14"/>
        </w:rPr>
        <w:t xml:space="preserve"> </w:t>
      </w:r>
      <w:r w:rsidR="00A831CC" w:rsidRPr="005D6DDA">
        <w:rPr>
          <w:rStyle w:val="22"/>
          <w:rFonts w:eastAsia="Calibri"/>
          <w:sz w:val="14"/>
          <w:szCs w:val="14"/>
        </w:rPr>
        <w:t>НПВС, витамины группы</w:t>
      </w:r>
      <w:proofErr w:type="gramStart"/>
      <w:r w:rsidR="00A831CC" w:rsidRPr="005D6DDA">
        <w:rPr>
          <w:rStyle w:val="22"/>
          <w:rFonts w:eastAsia="Calibri"/>
          <w:sz w:val="14"/>
          <w:szCs w:val="14"/>
        </w:rPr>
        <w:t xml:space="preserve"> В</w:t>
      </w:r>
      <w:proofErr w:type="gramEnd"/>
      <w:r w:rsidR="00A831CC" w:rsidRPr="005D6DDA">
        <w:rPr>
          <w:rStyle w:val="22"/>
          <w:rFonts w:eastAsia="Calibri"/>
          <w:sz w:val="14"/>
          <w:szCs w:val="14"/>
        </w:rPr>
        <w:t>, ГКС.</w:t>
      </w:r>
    </w:p>
    <w:p w14:paraId="1CA053AB" w14:textId="3269FA20" w:rsidR="00964C7F" w:rsidRPr="005D6DDA" w:rsidRDefault="00964C7F" w:rsidP="00AA5F36">
      <w:pPr>
        <w:pStyle w:val="20"/>
        <w:shd w:val="clear" w:color="auto" w:fill="auto"/>
        <w:tabs>
          <w:tab w:val="left" w:pos="3090"/>
        </w:tabs>
        <w:spacing w:after="0" w:line="240" w:lineRule="auto"/>
        <w:ind w:right="340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  <w:r w:rsidRPr="005D6DDA">
        <w:rPr>
          <w:rFonts w:ascii="Times New Roman" w:hAnsi="Times New Roman" w:cs="Times New Roman"/>
          <w:sz w:val="14"/>
          <w:szCs w:val="14"/>
        </w:rPr>
        <w:t xml:space="preserve">Код </w:t>
      </w:r>
      <w:r w:rsidRPr="005D6DDA">
        <w:rPr>
          <w:rFonts w:ascii="Times New Roman" w:hAnsi="Times New Roman" w:cs="Times New Roman"/>
          <w:sz w:val="14"/>
          <w:szCs w:val="14"/>
          <w:lang w:val="en-US" w:bidi="en-US"/>
        </w:rPr>
        <w:t>ATX</w:t>
      </w:r>
      <w:r w:rsidRPr="005D6DDA">
        <w:rPr>
          <w:rFonts w:ascii="Times New Roman" w:hAnsi="Times New Roman" w:cs="Times New Roman"/>
          <w:sz w:val="14"/>
          <w:szCs w:val="14"/>
          <w:lang w:bidi="en-US"/>
        </w:rPr>
        <w:t>:</w:t>
      </w:r>
      <w:r w:rsidRPr="005D6DDA">
        <w:rPr>
          <w:rStyle w:val="21"/>
          <w:rFonts w:eastAsia="Calibri"/>
          <w:sz w:val="14"/>
          <w:szCs w:val="14"/>
        </w:rPr>
        <w:t xml:space="preserve"> </w:t>
      </w:r>
      <w:r w:rsidRPr="005D6DDA">
        <w:rPr>
          <w:rStyle w:val="21"/>
          <w:rFonts w:eastAsia="Calibri"/>
          <w:b w:val="0"/>
          <w:i w:val="0"/>
          <w:sz w:val="14"/>
          <w:szCs w:val="14"/>
          <w:lang w:val="en-US"/>
        </w:rPr>
        <w:t>M</w:t>
      </w:r>
      <w:r w:rsidRPr="005D6DDA">
        <w:rPr>
          <w:rStyle w:val="21"/>
          <w:rFonts w:eastAsia="Calibri"/>
          <w:b w:val="0"/>
          <w:i w:val="0"/>
          <w:sz w:val="14"/>
          <w:szCs w:val="14"/>
        </w:rPr>
        <w:t>01</w:t>
      </w:r>
      <w:r w:rsidRPr="005D6DDA">
        <w:rPr>
          <w:rStyle w:val="21"/>
          <w:rFonts w:eastAsia="Calibri"/>
          <w:b w:val="0"/>
          <w:i w:val="0"/>
          <w:sz w:val="14"/>
          <w:szCs w:val="14"/>
          <w:lang w:val="en-US"/>
        </w:rPr>
        <w:t>AB</w:t>
      </w:r>
      <w:r w:rsidRPr="005D6DDA">
        <w:rPr>
          <w:rStyle w:val="21"/>
          <w:rFonts w:eastAsia="Calibri"/>
          <w:b w:val="0"/>
          <w:i w:val="0"/>
          <w:sz w:val="14"/>
          <w:szCs w:val="14"/>
        </w:rPr>
        <w:t>55</w:t>
      </w:r>
    </w:p>
    <w:p w14:paraId="4DB67A12" w14:textId="77777777" w:rsidR="00964C7F" w:rsidRPr="005D6DDA" w:rsidRDefault="00964C7F" w:rsidP="00964C7F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</w:p>
    <w:p w14:paraId="622B340F" w14:textId="26AD5D51" w:rsidR="00964C7F" w:rsidRPr="005D6DDA" w:rsidRDefault="00A831CC" w:rsidP="00964C7F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5D6DDA">
        <w:rPr>
          <w:rFonts w:ascii="Times New Roman" w:hAnsi="Times New Roman" w:cs="Times New Roman"/>
          <w:sz w:val="14"/>
          <w:szCs w:val="14"/>
        </w:rPr>
        <w:t>Фармакологические свойства</w:t>
      </w:r>
      <w:r w:rsidR="00AA5F36" w:rsidRPr="005D6DDA">
        <w:rPr>
          <w:rFonts w:ascii="Times New Roman" w:hAnsi="Times New Roman" w:cs="Times New Roman"/>
          <w:sz w:val="14"/>
          <w:szCs w:val="14"/>
        </w:rPr>
        <w:t>:</w:t>
      </w:r>
      <w:r w:rsidR="00964C7F" w:rsidRPr="005D6DDA">
        <w:rPr>
          <w:rFonts w:ascii="Times New Roman" w:hAnsi="Times New Roman" w:cs="Times New Roman"/>
          <w:sz w:val="14"/>
          <w:szCs w:val="14"/>
        </w:rPr>
        <w:t xml:space="preserve"> </w:t>
      </w:r>
    </w:p>
    <w:p w14:paraId="68B6C146" w14:textId="2A98314A" w:rsidR="00A831CC" w:rsidRPr="005D6DDA" w:rsidRDefault="00A831CC" w:rsidP="00964C7F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i/>
          <w:sz w:val="14"/>
          <w:szCs w:val="14"/>
        </w:rPr>
      </w:pPr>
      <w:proofErr w:type="spellStart"/>
      <w:r w:rsidRPr="005D6DDA">
        <w:rPr>
          <w:rFonts w:ascii="Times New Roman" w:hAnsi="Times New Roman" w:cs="Times New Roman"/>
          <w:b w:val="0"/>
          <w:i/>
          <w:sz w:val="14"/>
          <w:szCs w:val="14"/>
        </w:rPr>
        <w:t>Фармакодинамика</w:t>
      </w:r>
      <w:proofErr w:type="spellEnd"/>
      <w:r w:rsidRPr="005D6DDA">
        <w:rPr>
          <w:rFonts w:ascii="Times New Roman" w:hAnsi="Times New Roman" w:cs="Times New Roman"/>
          <w:b w:val="0"/>
          <w:i/>
          <w:sz w:val="14"/>
          <w:szCs w:val="14"/>
        </w:rPr>
        <w:t>:</w:t>
      </w:r>
      <w:r w:rsidR="0017036F" w:rsidRPr="005D6DDA">
        <w:rPr>
          <w:rFonts w:ascii="Times New Roman" w:hAnsi="Times New Roman" w:cs="Times New Roman"/>
          <w:b w:val="0"/>
          <w:bCs w:val="0"/>
          <w:noProof/>
          <w:sz w:val="14"/>
          <w:szCs w:val="14"/>
          <w:lang w:eastAsia="ru-RU"/>
        </w:rPr>
        <w:t xml:space="preserve"> </w:t>
      </w:r>
      <w:r w:rsidR="0017036F" w:rsidRPr="005D6DDA">
        <w:rPr>
          <w:rFonts w:ascii="Times New Roman" w:hAnsi="Times New Roman" w:cs="Times New Roman"/>
          <w:b w:val="0"/>
          <w:bCs w:val="0"/>
          <w:noProof/>
          <w:sz w:val="14"/>
          <w:szCs w:val="14"/>
          <w:lang w:eastAsia="ru-RU"/>
        </w:rPr>
        <w:drawing>
          <wp:anchor distT="0" distB="0" distL="114300" distR="114300" simplePos="0" relativeHeight="251659264" behindDoc="1" locked="0" layoutInCell="1" allowOverlap="1" wp14:anchorId="55318E12" wp14:editId="69242479">
            <wp:simplePos x="0" y="0"/>
            <wp:positionH relativeFrom="column">
              <wp:posOffset>-67945</wp:posOffset>
            </wp:positionH>
            <wp:positionV relativeFrom="paragraph">
              <wp:posOffset>1141095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815B0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proofErr w:type="spellStart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Мелоксикам</w:t>
      </w:r>
      <w:proofErr w:type="spellEnd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 xml:space="preserve"> -</w:t>
      </w: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механизм действия связан с ингибированием синтеза простагландинов в результате  селективного подавления ферментативной активности ЦОГ-2, участвующей в биосинтезе простагландинов в области воспаления. При применении в высоких дозах, длительном применении и индивидуальных особенностях организма ЦОГ-2 селективность снижается. Подавляет синтез простагландинов в области воспаления в большей степени, чем в слизистой оболочке желудка или почках, что связано с относительно избирательным ингибированием ЦОГ-2. Реже вызывает эрозивно-язвенные изменения ЖКТ. В  меньшей степени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мелоксикам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действует на ЦОГ-1, которая участвует в синтезе простагландинов, защищающих слизистую оболочку ЖКТ и принимающих участие в регуляции кровотока в почках.</w:t>
      </w:r>
    </w:p>
    <w:p w14:paraId="1034EB91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proofErr w:type="spellStart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Цианокобаламин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- доза витамина в препарате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Мобикорт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расценивается как лечебная и оптимально подходит для эффективного применения при  ургентной помощи в неврологии. Именно в высоких дозах проявляется выраженное анальгетическое действие витамина В12, быстро купируется острый болевой синдром. При применении высоких доз витамина В12 проявляется его способность активировать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ресинтез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миелина, в том числе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ресинтез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в пораженных участках нервов. Такие дозы в ряде случаев позволяют обеспечить восстановление синтеза миелина при его усиленном распаде, при воспалительных ревматических процессах. Витамин B12, поставляемый в виде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цианокобаламина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, действует через свои коферменты во многих метаболических процессах, включая синтез миелина, необходимого липопротеина для целостности нервной и периферической системы.</w:t>
      </w:r>
    </w:p>
    <w:p w14:paraId="593DC761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proofErr w:type="spellStart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Бетаметазон</w:t>
      </w:r>
      <w:proofErr w:type="spellEnd"/>
      <w:r w:rsidRPr="005D6DDA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 </w:t>
      </w: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является синтетическим кортикостероидом. При системном применении терапевтическая активность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бетаметазона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обусловлена противовоспалительным, противоаллергическим, иммунодепрессивным и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антипролиферативным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действием. По противовоспалительной активности превышает уровень активности гидрокортизона в 30 раз, не обладает минералокортикоидной активностью.</w:t>
      </w:r>
    </w:p>
    <w:p w14:paraId="3216CCCD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При введении в организм путем инъекций или перорально он связывается с ДНК, вызывая индукцию и блокировку генов, что в конечном итоге приводит к его противовоспалительному, иммунодепрессивному  эффекту.</w:t>
      </w:r>
    </w:p>
    <w:p w14:paraId="2FBB91EA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14"/>
          <w:szCs w:val="14"/>
        </w:rPr>
      </w:pPr>
      <w:proofErr w:type="spellStart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Фармакокинетика</w:t>
      </w:r>
      <w:proofErr w:type="spellEnd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 xml:space="preserve">: </w:t>
      </w:r>
    </w:p>
    <w:p w14:paraId="49D995C0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proofErr w:type="spellStart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Мелоксикам</w:t>
      </w:r>
      <w:proofErr w:type="spellEnd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 xml:space="preserve"> </w:t>
      </w: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- связывание с белками плазмы — 99 %. Проходит через ГЭБ, проникает в синовиальную жидкость. Концентрация в синовиальной жидкости — 50 % от концентрации в плазме.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Метаболизируется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в печени до неактивных метаболитов. T1/2 — 20 ч. Плазменный клиренс — в среднем 8 мл/мин (понижается в пожилом возрасте). Выводится через кишечник и почки (примерно в равной пропорции), в неизменённом виде (через кишечник) — 5 % суточной дозы.</w:t>
      </w:r>
    </w:p>
    <w:p w14:paraId="3B52B520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Витамин В12</w:t>
      </w: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- связь с белками плазмы — 90 %. Максимальная концентрация после в/</w:t>
      </w:r>
      <w:proofErr w:type="gram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</w:t>
      </w:r>
      <w:proofErr w:type="gram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введения — через 1 час. Период полувыведения — 500 дней. Из печени выводится с желчью в кишечник и снова всасывается в кровь</w:t>
      </w:r>
    </w:p>
    <w:p w14:paraId="6EFB6650" w14:textId="77777777" w:rsidR="00A831CC" w:rsidRPr="005D6DDA" w:rsidRDefault="00A831CC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proofErr w:type="spellStart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Бетаметазон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- связывание с белками плазмы составляет около 64 %,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Vd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— 84 л.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Метаболизируется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в печени. Метаболиты выводятся преимущественно почками, незначительная часть — с желчью. Системное всасывание после наружного применения составляет 12-14 %.</w:t>
      </w:r>
    </w:p>
    <w:p w14:paraId="73B1D338" w14:textId="0800F140" w:rsidR="00EA0C11" w:rsidRPr="005D6DDA" w:rsidRDefault="00EA0C11" w:rsidP="00A831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/>
          <w:bCs/>
          <w:sz w:val="14"/>
          <w:szCs w:val="14"/>
        </w:rPr>
        <w:t>Показания к применению:</w:t>
      </w:r>
    </w:p>
    <w:p w14:paraId="4327A329" w14:textId="77777777" w:rsidR="00EA0C11" w:rsidRPr="005D6DDA" w:rsidRDefault="00EA0C11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 xml:space="preserve">МОБИКОРТ применяется для симптоматического лечения </w:t>
      </w:r>
      <w:proofErr w:type="gramStart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при</w:t>
      </w:r>
      <w:proofErr w:type="gramEnd"/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:</w:t>
      </w:r>
    </w:p>
    <w:p w14:paraId="62AB3E0C" w14:textId="4627BBD3" w:rsidR="00EA0C11" w:rsidRPr="005D6DDA" w:rsidRDefault="00AA5F36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• </w:t>
      </w:r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ревматоидном </w:t>
      </w:r>
      <w:proofErr w:type="gram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артрите</w:t>
      </w:r>
      <w:proofErr w:type="gram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;</w:t>
      </w:r>
    </w:p>
    <w:p w14:paraId="5E78509D" w14:textId="58A906E5" w:rsidR="00EA0C11" w:rsidRPr="005D6DDA" w:rsidRDefault="00AA5F36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• </w:t>
      </w:r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воспалительных и дегенеративных </w:t>
      </w:r>
      <w:proofErr w:type="gram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заболеваниях</w:t>
      </w:r>
      <w:proofErr w:type="gram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костно-мышечной системы, таких как </w:t>
      </w:r>
      <w:proofErr w:type="spell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артропатии</w:t>
      </w:r>
      <w:proofErr w:type="spell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, </w:t>
      </w:r>
      <w:proofErr w:type="spell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дорсопатии</w:t>
      </w:r>
      <w:proofErr w:type="spell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(например, ишиас, </w:t>
      </w:r>
      <w:proofErr w:type="spell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люмбоишиалгии</w:t>
      </w:r>
      <w:proofErr w:type="spell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, цервикальная </w:t>
      </w:r>
      <w:proofErr w:type="spell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брахиалгия</w:t>
      </w:r>
      <w:proofErr w:type="spell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,  плечевой периартрит, синдром Рейтера, </w:t>
      </w:r>
      <w:proofErr w:type="spell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анкилозирующий</w:t>
      </w:r>
      <w:proofErr w:type="spell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спондилоартрит (болезнь Бехтерева), острый тендовагинит), сопровождающиеся болью;</w:t>
      </w:r>
    </w:p>
    <w:p w14:paraId="48B97359" w14:textId="02EEB108" w:rsidR="00EA0C11" w:rsidRPr="005D6DDA" w:rsidRDefault="00AA5F36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• </w:t>
      </w:r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симптоматическом </w:t>
      </w:r>
      <w:proofErr w:type="gram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лечении</w:t>
      </w:r>
      <w:proofErr w:type="gram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остеоартрита (артроз, дегенеративные заболевания суставов) в </w:t>
      </w:r>
      <w:proofErr w:type="spellStart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т.ч</w:t>
      </w:r>
      <w:proofErr w:type="spellEnd"/>
      <w:r w:rsidR="00EA0C11" w:rsidRPr="005D6DDA">
        <w:rPr>
          <w:rFonts w:ascii="Times New Roman" w:eastAsia="Times New Roman" w:hAnsi="Times New Roman" w:cs="Times New Roman"/>
          <w:bCs/>
          <w:sz w:val="14"/>
          <w:szCs w:val="14"/>
        </w:rPr>
        <w:t>. с болевым компонентом.</w:t>
      </w:r>
    </w:p>
    <w:p w14:paraId="0D8AEEC8" w14:textId="77777777" w:rsidR="00EA0C11" w:rsidRPr="005D6DDA" w:rsidRDefault="00EA0C11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Препарат предназначен для симптоматической терапии, уменьшения боли и воспаления на момент использования, на прогрессирование заболевания не влияет. Парентерально применяется в качестве начальной терапии и краткосрочного симптоматического лечения.</w:t>
      </w:r>
    </w:p>
    <w:p w14:paraId="02DF58C1" w14:textId="77777777" w:rsidR="00EA0C11" w:rsidRPr="005D6DDA" w:rsidRDefault="00EA0C11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/>
          <w:bCs/>
          <w:sz w:val="14"/>
          <w:szCs w:val="14"/>
        </w:rPr>
        <w:t>Способ применения и дозировка:</w:t>
      </w: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</w:t>
      </w:r>
    </w:p>
    <w:p w14:paraId="4F733D00" w14:textId="1A0A2632" w:rsidR="00EA0C11" w:rsidRPr="005D6DDA" w:rsidRDefault="00EA0C11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Препарат применяется в/</w:t>
      </w:r>
      <w:proofErr w:type="gram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</w:t>
      </w:r>
      <w:proofErr w:type="gram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(ампулы) и перорально (таблетки). Режим дозирования устанавливают индивидуально, в зависимости от интенсивности болей и тяжести воспалительного процесса. Не следует применять препарат одновременно с другими НПВП. Суммарная суточная доза препарата, применяемого в виде разных лекарственных форм, не должна превышать дозу (7,5 мг-15 мг для </w:t>
      </w:r>
      <w:proofErr w:type="spell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мелоксикама</w:t>
      </w:r>
      <w:proofErr w:type="spell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соответственно) в зависимости от интенсивности болей и тяжести воспалительного процесса. В/</w:t>
      </w:r>
      <w:proofErr w:type="gramStart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>м</w:t>
      </w:r>
      <w:proofErr w:type="gramEnd"/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введение препарата показано только в течение первых 2-3 дней терапии. В дальнейшем лечение продолжают с применением пероральных лекарственных форм. </w:t>
      </w:r>
    </w:p>
    <w:p w14:paraId="0B15CA2D" w14:textId="60826205" w:rsidR="00EA0C11" w:rsidRPr="005D6DDA" w:rsidRDefault="00EA0C11" w:rsidP="00EA0C11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5D6DDA">
        <w:rPr>
          <w:rFonts w:ascii="Times New Roman" w:eastAsia="Times New Roman" w:hAnsi="Times New Roman" w:cs="Times New Roman"/>
          <w:bCs/>
          <w:i/>
          <w:sz w:val="14"/>
          <w:szCs w:val="14"/>
        </w:rPr>
        <w:t>Внутрь:</w:t>
      </w:r>
      <w:r w:rsidRPr="005D6DDA">
        <w:rPr>
          <w:rFonts w:ascii="Times New Roman" w:eastAsia="Times New Roman" w:hAnsi="Times New Roman" w:cs="Times New Roman"/>
          <w:bCs/>
          <w:sz w:val="14"/>
          <w:szCs w:val="14"/>
        </w:rPr>
        <w:t xml:space="preserve"> Таблетки рекомендуется принимать по 1 таблетке 1 раз в сутки, во время приема пищи. Таблетку необходимо запивать водой. Курс лечения определяется лечащим врачом в зависимости от тяжести симптомов заболевания.</w:t>
      </w:r>
    </w:p>
    <w:p w14:paraId="1AB98400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sz w:val="14"/>
          <w:szCs w:val="14"/>
        </w:rPr>
      </w:pPr>
      <w:r w:rsidRPr="005D6DDA">
        <w:rPr>
          <w:sz w:val="14"/>
          <w:szCs w:val="14"/>
        </w:rPr>
        <w:t>Побочные действия:</w:t>
      </w:r>
    </w:p>
    <w:p w14:paraId="5A09AF91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желудочно-кишечного тракта:</w:t>
      </w:r>
      <w:r w:rsidRPr="005D6DDA">
        <w:rPr>
          <w:b w:val="0"/>
          <w:sz w:val="14"/>
          <w:szCs w:val="14"/>
        </w:rPr>
        <w:t xml:space="preserve"> тошнота, рвота, анорексия, метеоризм, запоры, диарея, острые медикаментозные эрозии и язвы ЖКТ, желудочно-кишечные кровотечения. </w:t>
      </w:r>
    </w:p>
    <w:p w14:paraId="40A13706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нервной системы:</w:t>
      </w:r>
      <w:r w:rsidRPr="005D6DDA">
        <w:rPr>
          <w:b w:val="0"/>
          <w:sz w:val="14"/>
          <w:szCs w:val="14"/>
        </w:rPr>
        <w:t xml:space="preserve"> судороги, повышение внутричерепного давления с отеком диска зрительного нерва (обычно после завершения лечения), головокружение, головная боль, сонливость, раздражительность. </w:t>
      </w:r>
    </w:p>
    <w:p w14:paraId="03C8C9DC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печени:</w:t>
      </w:r>
      <w:r w:rsidRPr="005D6DDA">
        <w:rPr>
          <w:b w:val="0"/>
          <w:sz w:val="14"/>
          <w:szCs w:val="14"/>
        </w:rPr>
        <w:t xml:space="preserve"> иногда - повышение </w:t>
      </w:r>
      <w:proofErr w:type="spellStart"/>
      <w:r w:rsidRPr="005D6DDA">
        <w:rPr>
          <w:b w:val="0"/>
          <w:sz w:val="14"/>
          <w:szCs w:val="14"/>
        </w:rPr>
        <w:t>трансаминаз</w:t>
      </w:r>
      <w:proofErr w:type="spellEnd"/>
      <w:r w:rsidRPr="005D6DDA">
        <w:rPr>
          <w:b w:val="0"/>
          <w:sz w:val="14"/>
          <w:szCs w:val="14"/>
        </w:rPr>
        <w:t xml:space="preserve"> или редко - гепатиты </w:t>
      </w:r>
      <w:proofErr w:type="gramStart"/>
      <w:r w:rsidRPr="005D6DDA">
        <w:rPr>
          <w:b w:val="0"/>
          <w:sz w:val="14"/>
          <w:szCs w:val="14"/>
        </w:rPr>
        <w:t>с</w:t>
      </w:r>
      <w:proofErr w:type="gramEnd"/>
      <w:r w:rsidRPr="005D6DDA">
        <w:rPr>
          <w:b w:val="0"/>
          <w:sz w:val="14"/>
          <w:szCs w:val="14"/>
        </w:rPr>
        <w:t xml:space="preserve"> / без желтухи. </w:t>
      </w:r>
    </w:p>
    <w:p w14:paraId="48F4A6E2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кожного покрова:</w:t>
      </w:r>
      <w:r w:rsidRPr="005D6DDA">
        <w:rPr>
          <w:b w:val="0"/>
          <w:sz w:val="14"/>
          <w:szCs w:val="14"/>
        </w:rPr>
        <w:t xml:space="preserve"> иногда - эритема и высыпания на коже, дерматит, высыпания, ангионевротический отек. Редко - крапивница. Описаны отдельные случаи синдрома </w:t>
      </w:r>
      <w:proofErr w:type="spellStart"/>
      <w:r w:rsidRPr="005D6DDA">
        <w:rPr>
          <w:b w:val="0"/>
          <w:sz w:val="14"/>
          <w:szCs w:val="14"/>
        </w:rPr>
        <w:t>Стивенса</w:t>
      </w:r>
      <w:proofErr w:type="spellEnd"/>
      <w:r w:rsidRPr="005D6DDA">
        <w:rPr>
          <w:b w:val="0"/>
          <w:sz w:val="14"/>
          <w:szCs w:val="14"/>
        </w:rPr>
        <w:t xml:space="preserve">-Джонсона, экссудативная полиморфная эритема и </w:t>
      </w:r>
      <w:proofErr w:type="gramStart"/>
      <w:r w:rsidRPr="005D6DDA">
        <w:rPr>
          <w:b w:val="0"/>
          <w:sz w:val="14"/>
          <w:szCs w:val="14"/>
        </w:rPr>
        <w:t>токсический</w:t>
      </w:r>
      <w:proofErr w:type="gramEnd"/>
      <w:r w:rsidRPr="005D6DDA">
        <w:rPr>
          <w:b w:val="0"/>
          <w:sz w:val="14"/>
          <w:szCs w:val="14"/>
        </w:rPr>
        <w:t xml:space="preserve"> </w:t>
      </w:r>
      <w:proofErr w:type="spellStart"/>
      <w:r w:rsidRPr="005D6DDA">
        <w:rPr>
          <w:b w:val="0"/>
          <w:sz w:val="14"/>
          <w:szCs w:val="14"/>
        </w:rPr>
        <w:t>эпидермолиз</w:t>
      </w:r>
      <w:proofErr w:type="spellEnd"/>
      <w:r w:rsidRPr="005D6DDA">
        <w:rPr>
          <w:b w:val="0"/>
          <w:sz w:val="14"/>
          <w:szCs w:val="14"/>
        </w:rPr>
        <w:t xml:space="preserve">. Ухудшение заживления ран, истончение кожи, петехии и </w:t>
      </w:r>
      <w:proofErr w:type="spellStart"/>
      <w:r w:rsidRPr="005D6DDA">
        <w:rPr>
          <w:b w:val="0"/>
          <w:sz w:val="14"/>
          <w:szCs w:val="14"/>
        </w:rPr>
        <w:t>экхимозы</w:t>
      </w:r>
      <w:proofErr w:type="spellEnd"/>
      <w:r w:rsidRPr="005D6DDA">
        <w:rPr>
          <w:b w:val="0"/>
          <w:sz w:val="14"/>
          <w:szCs w:val="14"/>
        </w:rPr>
        <w:t xml:space="preserve">, эритема лица. При введении - жжение, образование инфильтрата. </w:t>
      </w:r>
    </w:p>
    <w:p w14:paraId="6CB2FB26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почек:</w:t>
      </w:r>
      <w:r w:rsidRPr="005D6DDA">
        <w:rPr>
          <w:b w:val="0"/>
          <w:sz w:val="14"/>
          <w:szCs w:val="14"/>
        </w:rPr>
        <w:t xml:space="preserve"> отдельные случаи острой почечной недостаточности, гематурии и протеинурии, </w:t>
      </w:r>
      <w:proofErr w:type="spellStart"/>
      <w:r w:rsidRPr="005D6DDA">
        <w:rPr>
          <w:b w:val="0"/>
          <w:sz w:val="14"/>
          <w:szCs w:val="14"/>
        </w:rPr>
        <w:t>олигурия</w:t>
      </w:r>
      <w:proofErr w:type="spellEnd"/>
      <w:r w:rsidRPr="005D6DDA">
        <w:rPr>
          <w:b w:val="0"/>
          <w:sz w:val="14"/>
          <w:szCs w:val="14"/>
        </w:rPr>
        <w:t xml:space="preserve">, интерстициальный нефрит, папиллярный некроз, азотемия. </w:t>
      </w:r>
    </w:p>
    <w:p w14:paraId="2959D2D9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кровеносной системы:</w:t>
      </w:r>
      <w:r w:rsidRPr="005D6DDA">
        <w:rPr>
          <w:b w:val="0"/>
          <w:sz w:val="14"/>
          <w:szCs w:val="14"/>
        </w:rPr>
        <w:t xml:space="preserve"> отдельные случаи лейкопении, гемолитической анемии и </w:t>
      </w:r>
      <w:proofErr w:type="spellStart"/>
      <w:r w:rsidRPr="005D6DDA">
        <w:rPr>
          <w:b w:val="0"/>
          <w:sz w:val="14"/>
          <w:szCs w:val="14"/>
        </w:rPr>
        <w:t>агранулоцитоза</w:t>
      </w:r>
      <w:proofErr w:type="spellEnd"/>
      <w:r w:rsidRPr="005D6DDA">
        <w:rPr>
          <w:b w:val="0"/>
          <w:sz w:val="14"/>
          <w:szCs w:val="14"/>
        </w:rPr>
        <w:t xml:space="preserve">. </w:t>
      </w:r>
    </w:p>
    <w:p w14:paraId="75FA93FD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 xml:space="preserve">Со стороны </w:t>
      </w:r>
      <w:proofErr w:type="gramStart"/>
      <w:r w:rsidRPr="005D6DDA">
        <w:rPr>
          <w:b w:val="0"/>
          <w:i/>
          <w:sz w:val="14"/>
          <w:szCs w:val="14"/>
        </w:rPr>
        <w:t>сердечно-сосудистой</w:t>
      </w:r>
      <w:proofErr w:type="gramEnd"/>
      <w:r w:rsidRPr="005D6DDA">
        <w:rPr>
          <w:b w:val="0"/>
          <w:i/>
          <w:sz w:val="14"/>
          <w:szCs w:val="14"/>
        </w:rPr>
        <w:t xml:space="preserve"> системы:</w:t>
      </w:r>
      <w:r w:rsidRPr="005D6DDA">
        <w:rPr>
          <w:b w:val="0"/>
          <w:sz w:val="14"/>
          <w:szCs w:val="14"/>
        </w:rPr>
        <w:t xml:space="preserve"> артериальная гипертензия, застойная сердечная недостаточность и учащенное сердцебиение. </w:t>
      </w:r>
    </w:p>
    <w:p w14:paraId="290C43DA" w14:textId="7A3E2D09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водно-электролитного баланса:</w:t>
      </w:r>
      <w:r w:rsidR="00AA5F36" w:rsidRPr="005D6DDA">
        <w:rPr>
          <w:b w:val="0"/>
          <w:sz w:val="14"/>
          <w:szCs w:val="14"/>
        </w:rPr>
        <w:t xml:space="preserve"> задержка натрия</w:t>
      </w:r>
      <w:r w:rsidRPr="005D6DDA">
        <w:rPr>
          <w:b w:val="0"/>
          <w:sz w:val="14"/>
          <w:szCs w:val="14"/>
        </w:rPr>
        <w:t xml:space="preserve">, повышенное выделение калия и </w:t>
      </w:r>
      <w:proofErr w:type="spellStart"/>
      <w:r w:rsidRPr="005D6DDA">
        <w:rPr>
          <w:b w:val="0"/>
          <w:sz w:val="14"/>
          <w:szCs w:val="14"/>
        </w:rPr>
        <w:t>гипокалиемический</w:t>
      </w:r>
      <w:proofErr w:type="spellEnd"/>
      <w:r w:rsidRPr="005D6DDA">
        <w:rPr>
          <w:b w:val="0"/>
          <w:sz w:val="14"/>
          <w:szCs w:val="14"/>
        </w:rPr>
        <w:t xml:space="preserve"> алкалоз. </w:t>
      </w:r>
    </w:p>
    <w:p w14:paraId="5693CE3F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скелетно-мышечной системы:</w:t>
      </w:r>
      <w:r w:rsidRPr="005D6DDA">
        <w:rPr>
          <w:b w:val="0"/>
          <w:sz w:val="14"/>
          <w:szCs w:val="14"/>
        </w:rPr>
        <w:t xml:space="preserve"> мышечная слабость, миопатия, потеря мышечной массы, остеопороз, переломы позвоночника в результате компрессии, асептический некроз головки бедренной кости и / или патологические переломы длинных костей, разрывы сухожилий, нестабильность суставов (после многократных введений). </w:t>
      </w:r>
    </w:p>
    <w:p w14:paraId="7F5C2EBC" w14:textId="3E52BE50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эндокринной системы:</w:t>
      </w:r>
      <w:r w:rsidRPr="005D6DDA">
        <w:rPr>
          <w:b w:val="0"/>
          <w:sz w:val="14"/>
          <w:szCs w:val="14"/>
        </w:rPr>
        <w:t xml:space="preserve"> нарушения менструального цикла, адреналовая недостаточность, особенно при возникновении стрессовой ситуации (после травм, хирургических вмешательств, системных заболеваний). </w:t>
      </w:r>
    </w:p>
    <w:p w14:paraId="0E79D910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Психоневрологические расстройства:</w:t>
      </w:r>
      <w:r w:rsidRPr="005D6DDA">
        <w:rPr>
          <w:b w:val="0"/>
          <w:sz w:val="14"/>
          <w:szCs w:val="14"/>
        </w:rPr>
        <w:t xml:space="preserve"> эйфория, изменение настроения, депрессия (с выраженными психотическими реакциями), повышенная раздражительность, бессонница. </w:t>
      </w:r>
    </w:p>
    <w:p w14:paraId="7388EA8A" w14:textId="77777777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Со стороны органов чувств:</w:t>
      </w:r>
      <w:r w:rsidRPr="005D6DDA">
        <w:rPr>
          <w:b w:val="0"/>
          <w:sz w:val="14"/>
          <w:szCs w:val="14"/>
        </w:rPr>
        <w:t xml:space="preserve"> задняя </w:t>
      </w:r>
      <w:proofErr w:type="spellStart"/>
      <w:r w:rsidRPr="005D6DDA">
        <w:rPr>
          <w:b w:val="0"/>
          <w:sz w:val="14"/>
          <w:szCs w:val="14"/>
        </w:rPr>
        <w:t>субкапсулярная</w:t>
      </w:r>
      <w:proofErr w:type="spellEnd"/>
      <w:r w:rsidRPr="005D6DDA">
        <w:rPr>
          <w:b w:val="0"/>
          <w:sz w:val="14"/>
          <w:szCs w:val="14"/>
        </w:rPr>
        <w:t xml:space="preserve"> катаракта, повышение внутриглазного давления, глаукома, экзофтальм и звон в ушах. </w:t>
      </w:r>
    </w:p>
    <w:p w14:paraId="075BC946" w14:textId="77777777" w:rsidR="00AA5F36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 xml:space="preserve">Расстройства метаболизма: </w:t>
      </w:r>
      <w:r w:rsidRPr="005D6DDA">
        <w:rPr>
          <w:b w:val="0"/>
          <w:sz w:val="14"/>
          <w:szCs w:val="14"/>
        </w:rPr>
        <w:t xml:space="preserve">отрицательный азотный баланс вследствие катаболизма белка. </w:t>
      </w:r>
    </w:p>
    <w:p w14:paraId="669AA505" w14:textId="67453D79" w:rsidR="00964C7F" w:rsidRPr="005D6DDA" w:rsidRDefault="00964C7F" w:rsidP="00964C7F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Другие:</w:t>
      </w:r>
      <w:r w:rsidRPr="005D6DDA">
        <w:rPr>
          <w:b w:val="0"/>
          <w:sz w:val="14"/>
          <w:szCs w:val="14"/>
        </w:rPr>
        <w:t xml:space="preserve"> </w:t>
      </w:r>
      <w:proofErr w:type="spellStart"/>
      <w:r w:rsidRPr="005D6DDA">
        <w:rPr>
          <w:b w:val="0"/>
          <w:sz w:val="14"/>
          <w:szCs w:val="14"/>
        </w:rPr>
        <w:t>бронхоспазм</w:t>
      </w:r>
      <w:proofErr w:type="spellEnd"/>
      <w:r w:rsidRPr="005D6DDA">
        <w:rPr>
          <w:b w:val="0"/>
          <w:sz w:val="14"/>
          <w:szCs w:val="14"/>
        </w:rPr>
        <w:t xml:space="preserve">, системные анафилактические реакции. Данные клинических исследований и эпидемиологические данные свидетельствуют о повышенном риске тромботических осложнений (например, инфаркта миокарда или инсульта), связанный с применением </w:t>
      </w:r>
      <w:proofErr w:type="spellStart"/>
      <w:r w:rsidRPr="005D6DDA">
        <w:rPr>
          <w:b w:val="0"/>
          <w:sz w:val="14"/>
          <w:szCs w:val="14"/>
        </w:rPr>
        <w:t>мелоксикама</w:t>
      </w:r>
      <w:proofErr w:type="spellEnd"/>
      <w:r w:rsidRPr="005D6DDA">
        <w:rPr>
          <w:b w:val="0"/>
          <w:sz w:val="14"/>
          <w:szCs w:val="14"/>
        </w:rPr>
        <w:t xml:space="preserve"> в частности в высоких терапевтических дозах (150 мг в сутки) и при длительном применении.</w:t>
      </w:r>
    </w:p>
    <w:p w14:paraId="04B6D06F" w14:textId="77777777" w:rsidR="00083472" w:rsidRPr="005D6DDA" w:rsidRDefault="00083472" w:rsidP="00083472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</w:p>
    <w:p w14:paraId="7466D5BA" w14:textId="77777777" w:rsidR="005C653D" w:rsidRPr="005D6DDA" w:rsidRDefault="005C653D" w:rsidP="005C653D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bookmarkStart w:id="1" w:name="bookmark5"/>
      <w:r w:rsidRPr="005D6DDA">
        <w:rPr>
          <w:sz w:val="14"/>
          <w:szCs w:val="14"/>
        </w:rPr>
        <w:lastRenderedPageBreak/>
        <w:t>Противопоказания</w:t>
      </w:r>
      <w:bookmarkEnd w:id="1"/>
      <w:r w:rsidRPr="005D6DDA">
        <w:rPr>
          <w:sz w:val="14"/>
          <w:szCs w:val="14"/>
        </w:rPr>
        <w:t>:</w:t>
      </w:r>
    </w:p>
    <w:p w14:paraId="282226E3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 xml:space="preserve">повышенная чувствительность к компонентам препарата или другим НПВП; </w:t>
      </w:r>
    </w:p>
    <w:p w14:paraId="413A9A52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кровотечение или перфорация желудочно-кишечного тракта в анамнезе, связанная с предыдущим лечением нестероидными противовоспалительными средствами (НПВС).</w:t>
      </w:r>
    </w:p>
    <w:p w14:paraId="003F1D0D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активная форма язвенной болезни/кровотечения или рецидивирующая язвенная болезнь/кровотечение в анамнезе (два или более отдельных эпизодов установленной язвы или кровотечения);</w:t>
      </w:r>
    </w:p>
    <w:p w14:paraId="104A265C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тяжелая почечная и печеночная недостаточность;</w:t>
      </w:r>
    </w:p>
    <w:p w14:paraId="07AE5877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декомпенсированная сердечная недостаточность;</w:t>
      </w:r>
    </w:p>
    <w:p w14:paraId="46848230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тяжелая форма гипертонической болезни;</w:t>
      </w:r>
    </w:p>
    <w:p w14:paraId="648336DF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 xml:space="preserve">системный микоз; </w:t>
      </w:r>
    </w:p>
    <w:p w14:paraId="18DCE759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активный туберкулез;</w:t>
      </w:r>
    </w:p>
    <w:p w14:paraId="6DA40F1B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остеопороз</w:t>
      </w:r>
    </w:p>
    <w:p w14:paraId="49E46D7A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синдром Иценко-</w:t>
      </w:r>
      <w:proofErr w:type="spellStart"/>
      <w:r w:rsidRPr="005D6DDA">
        <w:rPr>
          <w:b w:val="0"/>
          <w:sz w:val="14"/>
          <w:szCs w:val="14"/>
        </w:rPr>
        <w:t>Кушинга</w:t>
      </w:r>
      <w:proofErr w:type="spellEnd"/>
      <w:r w:rsidRPr="005D6DDA">
        <w:rPr>
          <w:b w:val="0"/>
          <w:sz w:val="14"/>
          <w:szCs w:val="14"/>
        </w:rPr>
        <w:t>;</w:t>
      </w:r>
    </w:p>
    <w:p w14:paraId="5B48C619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 xml:space="preserve">сахарный диабет </w:t>
      </w:r>
    </w:p>
    <w:p w14:paraId="11E492B0" w14:textId="7404EB9C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ге</w:t>
      </w:r>
      <w:r w:rsidR="00511D3E" w:rsidRPr="005D6DDA">
        <w:rPr>
          <w:b w:val="0"/>
          <w:sz w:val="14"/>
          <w:szCs w:val="14"/>
        </w:rPr>
        <w:t>патит</w:t>
      </w:r>
      <w:proofErr w:type="gramStart"/>
      <w:r w:rsidR="00511D3E" w:rsidRPr="005D6DDA">
        <w:rPr>
          <w:b w:val="0"/>
          <w:sz w:val="14"/>
          <w:szCs w:val="14"/>
        </w:rPr>
        <w:t xml:space="preserve"> А</w:t>
      </w:r>
      <w:proofErr w:type="gramEnd"/>
      <w:r w:rsidR="00511D3E" w:rsidRPr="005D6DDA">
        <w:rPr>
          <w:b w:val="0"/>
          <w:sz w:val="14"/>
          <w:szCs w:val="14"/>
        </w:rPr>
        <w:t xml:space="preserve">, В </w:t>
      </w:r>
      <w:r w:rsidRPr="005D6DDA">
        <w:rPr>
          <w:b w:val="0"/>
          <w:sz w:val="14"/>
          <w:szCs w:val="14"/>
        </w:rPr>
        <w:t>и другие вирусные инфекции;</w:t>
      </w:r>
    </w:p>
    <w:p w14:paraId="08DC291B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proofErr w:type="spellStart"/>
      <w:r w:rsidRPr="005D6DDA">
        <w:rPr>
          <w:b w:val="0"/>
          <w:sz w:val="14"/>
          <w:szCs w:val="14"/>
        </w:rPr>
        <w:t>иммунодефицитные</w:t>
      </w:r>
      <w:proofErr w:type="spellEnd"/>
      <w:r w:rsidRPr="005D6DDA">
        <w:rPr>
          <w:b w:val="0"/>
          <w:sz w:val="14"/>
          <w:szCs w:val="14"/>
        </w:rPr>
        <w:t xml:space="preserve"> состояния (в </w:t>
      </w:r>
      <w:proofErr w:type="spellStart"/>
      <w:r w:rsidRPr="005D6DDA">
        <w:rPr>
          <w:b w:val="0"/>
          <w:sz w:val="14"/>
          <w:szCs w:val="14"/>
        </w:rPr>
        <w:t>т.ч</w:t>
      </w:r>
      <w:proofErr w:type="spellEnd"/>
      <w:r w:rsidRPr="005D6DDA">
        <w:rPr>
          <w:b w:val="0"/>
          <w:sz w:val="14"/>
          <w:szCs w:val="14"/>
        </w:rPr>
        <w:t>. СПИД или ВИЧ-инфекция);</w:t>
      </w:r>
    </w:p>
    <w:p w14:paraId="0121A902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 xml:space="preserve">период вакцинации; </w:t>
      </w:r>
    </w:p>
    <w:p w14:paraId="035D6E0C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период беременности и кормления грудью</w:t>
      </w:r>
    </w:p>
    <w:p w14:paraId="32537E4E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внутримышечное введение пациентам с идиопатической тромбоцитопенической пурпурой;</w:t>
      </w:r>
    </w:p>
    <w:p w14:paraId="4821414C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подагра;</w:t>
      </w:r>
    </w:p>
    <w:p w14:paraId="3ED2DBAF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лечение системными коагулянтами;</w:t>
      </w:r>
    </w:p>
    <w:p w14:paraId="3A42AD47" w14:textId="04F73A1A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детский возраст</w:t>
      </w:r>
      <w:r w:rsidR="00EA0C11" w:rsidRPr="005D6DDA">
        <w:rPr>
          <w:b w:val="0"/>
          <w:sz w:val="14"/>
          <w:szCs w:val="14"/>
        </w:rPr>
        <w:t xml:space="preserve"> до 18 лет</w:t>
      </w:r>
      <w:r w:rsidRPr="005D6DDA">
        <w:rPr>
          <w:b w:val="0"/>
          <w:sz w:val="14"/>
          <w:szCs w:val="14"/>
        </w:rPr>
        <w:t>;</w:t>
      </w:r>
    </w:p>
    <w:p w14:paraId="2AFE5B6E" w14:textId="46B55731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застойная серд</w:t>
      </w:r>
      <w:r w:rsidR="00511D3E" w:rsidRPr="005D6DDA">
        <w:rPr>
          <w:b w:val="0"/>
          <w:sz w:val="14"/>
          <w:szCs w:val="14"/>
        </w:rPr>
        <w:t>ечная недостаточность</w:t>
      </w:r>
      <w:r w:rsidRPr="005D6DDA">
        <w:rPr>
          <w:b w:val="0"/>
          <w:sz w:val="14"/>
          <w:szCs w:val="14"/>
        </w:rPr>
        <w:t>;</w:t>
      </w:r>
    </w:p>
    <w:p w14:paraId="7B064E3E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ишемическая болезнь сердца у пациентов, имеющих стенокардию, перенесших инфаркт миокарда;</w:t>
      </w:r>
    </w:p>
    <w:p w14:paraId="3BF4A512" w14:textId="2BA7BCF9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цереброваскулярные заболевания у пациентов, которые перенесли</w:t>
      </w:r>
      <w:r w:rsidR="0017036F" w:rsidRPr="005D6DDA">
        <w:rPr>
          <w:rFonts w:eastAsia="Calibri"/>
          <w:b w:val="0"/>
          <w:bCs w:val="0"/>
          <w:noProof/>
          <w:sz w:val="14"/>
          <w:szCs w:val="14"/>
          <w:lang w:eastAsia="ru-RU"/>
        </w:rPr>
        <w:drawing>
          <wp:anchor distT="0" distB="0" distL="114300" distR="114300" simplePos="0" relativeHeight="251661312" behindDoc="1" locked="0" layoutInCell="1" allowOverlap="1" wp14:anchorId="5D09752C" wp14:editId="4EE0F538">
            <wp:simplePos x="0" y="0"/>
            <wp:positionH relativeFrom="column">
              <wp:posOffset>84455</wp:posOffset>
            </wp:positionH>
            <wp:positionV relativeFrom="paragraph">
              <wp:posOffset>443865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6DDA">
        <w:rPr>
          <w:b w:val="0"/>
          <w:sz w:val="14"/>
          <w:szCs w:val="14"/>
        </w:rPr>
        <w:t xml:space="preserve"> инсульт или имеют эпизоды транзиторных ишемических атак;</w:t>
      </w:r>
    </w:p>
    <w:p w14:paraId="336D89D1" w14:textId="77777777" w:rsidR="005C653D" w:rsidRPr="005D6DDA" w:rsidRDefault="005C653D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 xml:space="preserve">заболевания периферических артерий. </w:t>
      </w:r>
    </w:p>
    <w:p w14:paraId="0C4CEE72" w14:textId="41D5E4CC" w:rsidR="005C653D" w:rsidRPr="005D6DDA" w:rsidRDefault="00511D3E" w:rsidP="005C653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л</w:t>
      </w:r>
      <w:r w:rsidR="005C653D" w:rsidRPr="005D6DDA">
        <w:rPr>
          <w:b w:val="0"/>
          <w:sz w:val="14"/>
          <w:szCs w:val="14"/>
        </w:rPr>
        <w:t xml:space="preserve">ечение </w:t>
      </w:r>
      <w:proofErr w:type="spellStart"/>
      <w:r w:rsidR="005C653D" w:rsidRPr="005D6DDA">
        <w:rPr>
          <w:b w:val="0"/>
          <w:sz w:val="14"/>
          <w:szCs w:val="14"/>
        </w:rPr>
        <w:t>периоперационной</w:t>
      </w:r>
      <w:proofErr w:type="spellEnd"/>
      <w:r w:rsidR="005C653D" w:rsidRPr="005D6DDA">
        <w:rPr>
          <w:b w:val="0"/>
          <w:sz w:val="14"/>
          <w:szCs w:val="14"/>
        </w:rPr>
        <w:t xml:space="preserve"> боли при </w:t>
      </w:r>
      <w:proofErr w:type="gramStart"/>
      <w:r w:rsidR="005C653D" w:rsidRPr="005D6DDA">
        <w:rPr>
          <w:b w:val="0"/>
          <w:sz w:val="14"/>
          <w:szCs w:val="14"/>
        </w:rPr>
        <w:t>аорто-коронарном</w:t>
      </w:r>
      <w:proofErr w:type="gramEnd"/>
      <w:r w:rsidR="005C653D" w:rsidRPr="005D6DDA">
        <w:rPr>
          <w:b w:val="0"/>
          <w:sz w:val="14"/>
          <w:szCs w:val="14"/>
        </w:rPr>
        <w:t xml:space="preserve"> шунтировании (или использование аппарата искусственного кровообращения).</w:t>
      </w:r>
    </w:p>
    <w:p w14:paraId="7E6444E1" w14:textId="77777777" w:rsidR="005C653D" w:rsidRPr="005D6DDA" w:rsidRDefault="005C653D" w:rsidP="005C653D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  <w:highlight w:val="yellow"/>
        </w:rPr>
      </w:pPr>
      <w:bookmarkStart w:id="2" w:name="bookmark6"/>
    </w:p>
    <w:p w14:paraId="67B37827" w14:textId="77777777" w:rsidR="005C653D" w:rsidRPr="005D6DDA" w:rsidRDefault="005C653D" w:rsidP="005C653D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 w:rsidRPr="005D6DDA">
        <w:rPr>
          <w:sz w:val="14"/>
          <w:szCs w:val="14"/>
        </w:rPr>
        <w:t>Передозировка</w:t>
      </w:r>
      <w:bookmarkEnd w:id="2"/>
      <w:r w:rsidRPr="005D6DDA">
        <w:rPr>
          <w:sz w:val="14"/>
          <w:szCs w:val="14"/>
        </w:rPr>
        <w:t>:</w:t>
      </w:r>
    </w:p>
    <w:p w14:paraId="1B7CBA95" w14:textId="77777777" w:rsidR="00EA0C11" w:rsidRPr="005D6DDA" w:rsidRDefault="005C653D" w:rsidP="005C653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Симптомы:</w:t>
      </w:r>
      <w:r w:rsidRPr="005D6DDA">
        <w:rPr>
          <w:b w:val="0"/>
          <w:sz w:val="14"/>
          <w:szCs w:val="14"/>
        </w:rPr>
        <w:t xml:space="preserve"> типичная клиническая картина при передозировке препарата отсутствует. Передозировка может вызвать такие симптомы как рвота, кишечные кровотечения, диарею, головокружение, звон в ушах или судороги. В случае тяжелого отравления возможна острая почечная недостаточность и поражение печени. </w:t>
      </w:r>
    </w:p>
    <w:p w14:paraId="6B15594A" w14:textId="45B74D96" w:rsidR="005C653D" w:rsidRPr="005D6DDA" w:rsidRDefault="005C653D" w:rsidP="005C653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Лечение:</w:t>
      </w:r>
      <w:r w:rsidRPr="005D6DDA">
        <w:rPr>
          <w:b w:val="0"/>
          <w:sz w:val="14"/>
          <w:szCs w:val="14"/>
        </w:rPr>
        <w:t xml:space="preserve"> лечение острого отравления НПВП состоит в первую очередь из поддерживающих мер и симптоматического лечения. Форсированный диурез, диализ или </w:t>
      </w:r>
      <w:proofErr w:type="spellStart"/>
      <w:r w:rsidRPr="005D6DDA">
        <w:rPr>
          <w:b w:val="0"/>
          <w:sz w:val="14"/>
          <w:szCs w:val="14"/>
        </w:rPr>
        <w:t>гемоперфузия</w:t>
      </w:r>
      <w:proofErr w:type="spellEnd"/>
      <w:r w:rsidRPr="005D6DDA">
        <w:rPr>
          <w:b w:val="0"/>
          <w:sz w:val="14"/>
          <w:szCs w:val="14"/>
        </w:rPr>
        <w:t>, не могут гарантировать вывода нестероидных противовоспалительных средств</w:t>
      </w:r>
      <w:r w:rsidR="00511D3E" w:rsidRPr="005D6DDA">
        <w:rPr>
          <w:b w:val="0"/>
          <w:sz w:val="14"/>
          <w:szCs w:val="14"/>
        </w:rPr>
        <w:t>,</w:t>
      </w:r>
      <w:r w:rsidRPr="005D6DDA">
        <w:rPr>
          <w:b w:val="0"/>
          <w:sz w:val="14"/>
          <w:szCs w:val="14"/>
        </w:rPr>
        <w:t xml:space="preserve"> вследствие их высокого связывания с белками плазмы крови и интенсивным метаболизмом. </w:t>
      </w:r>
    </w:p>
    <w:p w14:paraId="42C9844A" w14:textId="2428476A" w:rsidR="005C653D" w:rsidRPr="005D6DDA" w:rsidRDefault="005C653D" w:rsidP="005C653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i/>
          <w:sz w:val="14"/>
          <w:szCs w:val="14"/>
        </w:rPr>
        <w:t>Симптомы</w:t>
      </w:r>
      <w:r w:rsidRPr="005D6DDA">
        <w:rPr>
          <w:b w:val="0"/>
          <w:sz w:val="14"/>
          <w:szCs w:val="14"/>
        </w:rPr>
        <w:t xml:space="preserve"> передозировки </w:t>
      </w:r>
      <w:proofErr w:type="spellStart"/>
      <w:r w:rsidRPr="005D6DDA">
        <w:rPr>
          <w:b w:val="0"/>
          <w:sz w:val="14"/>
          <w:szCs w:val="14"/>
        </w:rPr>
        <w:t>бетаметазона</w:t>
      </w:r>
      <w:proofErr w:type="spellEnd"/>
      <w:r w:rsidRPr="005D6DDA">
        <w:rPr>
          <w:b w:val="0"/>
          <w:sz w:val="14"/>
          <w:szCs w:val="14"/>
        </w:rPr>
        <w:t xml:space="preserve">: Острая передозировка </w:t>
      </w:r>
      <w:proofErr w:type="spellStart"/>
      <w:r w:rsidRPr="005D6DDA">
        <w:rPr>
          <w:b w:val="0"/>
          <w:sz w:val="14"/>
          <w:szCs w:val="14"/>
        </w:rPr>
        <w:t>бетаметазона</w:t>
      </w:r>
      <w:proofErr w:type="spellEnd"/>
      <w:r w:rsidRPr="005D6DDA">
        <w:rPr>
          <w:b w:val="0"/>
          <w:sz w:val="14"/>
          <w:szCs w:val="14"/>
        </w:rPr>
        <w:t xml:space="preserve"> не создает ситуации, представляющей угрозу для жизни. Введение в течение нескольких дней высоких доз ГКС не влечет к нежелательным последствиям (за исключением случаев применения очень высоких доз или в случае применения при сахарном диабете, глаукоме, обострении эрозивно-язвенных поражений ЖКТ или у больных, одновременно проходят терапию препаратами наперстянки, диуретики, что выводят калий). </w:t>
      </w:r>
    </w:p>
    <w:p w14:paraId="47E4E6BF" w14:textId="77777777" w:rsidR="00083472" w:rsidRPr="005D6DDA" w:rsidRDefault="005C653D" w:rsidP="005C653D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 w:rsidRPr="005D6DDA">
        <w:rPr>
          <w:b w:val="0"/>
          <w:i/>
          <w:sz w:val="14"/>
          <w:szCs w:val="14"/>
        </w:rPr>
        <w:t>Лечение:</w:t>
      </w:r>
      <w:r w:rsidRPr="005D6DDA">
        <w:rPr>
          <w:b w:val="0"/>
          <w:sz w:val="14"/>
          <w:szCs w:val="14"/>
        </w:rPr>
        <w:t xml:space="preserve"> нужен тщательный медицинский контроль над состоянием больного. Необходимо поддерживать оптимальное потребление жидкости и контролировать содержание электролитов в плазме и моче, уделяя при этом особое внимание балансу в организме натрия и калия. При обнаружении дисбаланса этих ионов необходимо проводить соответствующую терапию.</w:t>
      </w:r>
    </w:p>
    <w:p w14:paraId="29DCE22D" w14:textId="77777777" w:rsidR="00083472" w:rsidRPr="005D6DDA" w:rsidRDefault="00083472" w:rsidP="00083472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 w:rsidRPr="005D6DDA">
        <w:rPr>
          <w:sz w:val="14"/>
          <w:szCs w:val="14"/>
        </w:rPr>
        <w:t>Беременность и лактация:</w:t>
      </w:r>
    </w:p>
    <w:p w14:paraId="19DDB0B1" w14:textId="77777777" w:rsidR="00083472" w:rsidRPr="005D6DDA" w:rsidRDefault="00083472" w:rsidP="0008347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  <w:u w:val="single"/>
        </w:rPr>
      </w:pPr>
      <w:r w:rsidRPr="005D6DDA">
        <w:rPr>
          <w:b w:val="0"/>
          <w:i/>
          <w:sz w:val="14"/>
          <w:szCs w:val="14"/>
        </w:rPr>
        <w:t>Беременность</w:t>
      </w:r>
      <w:r w:rsidRPr="005D6DDA">
        <w:rPr>
          <w:b w:val="0"/>
          <w:sz w:val="14"/>
          <w:szCs w:val="14"/>
          <w:u w:val="single"/>
        </w:rPr>
        <w:t xml:space="preserve">: </w:t>
      </w:r>
    </w:p>
    <w:p w14:paraId="68D02FB2" w14:textId="77777777" w:rsidR="00083472" w:rsidRPr="005D6DDA" w:rsidRDefault="00083472" w:rsidP="0008347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 xml:space="preserve">Безопасное использование этого лекарства во время беременности не установлено. Следовательно, его применение требует, чтобы потенциальная польза для матери перевешивала риски для плода. Препараты, о которых известно, что они ингибируют синтез и высвобождение простагландинов (увеличивают частоту преждевременного закрытия открытого артериального протока), не рекомендуются. Младенцы, рожденные от матерей, получавших кортикостероиды во время беременности, должны тщательно наблюдаться на предмет признаков </w:t>
      </w:r>
      <w:proofErr w:type="spellStart"/>
      <w:r w:rsidRPr="005D6DDA">
        <w:rPr>
          <w:b w:val="0"/>
          <w:sz w:val="14"/>
          <w:szCs w:val="14"/>
        </w:rPr>
        <w:t>гипоадренализма</w:t>
      </w:r>
      <w:proofErr w:type="spellEnd"/>
      <w:r w:rsidRPr="005D6DDA">
        <w:rPr>
          <w:b w:val="0"/>
          <w:sz w:val="14"/>
          <w:szCs w:val="14"/>
        </w:rPr>
        <w:t>.</w:t>
      </w:r>
    </w:p>
    <w:p w14:paraId="15C29EC0" w14:textId="77777777" w:rsidR="00083472" w:rsidRPr="005D6DDA" w:rsidRDefault="00083472" w:rsidP="00083472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4"/>
          <w:szCs w:val="14"/>
        </w:rPr>
      </w:pPr>
      <w:r w:rsidRPr="005D6DDA">
        <w:rPr>
          <w:b w:val="0"/>
          <w:i/>
          <w:sz w:val="14"/>
          <w:szCs w:val="14"/>
        </w:rPr>
        <w:t xml:space="preserve">Лактация: </w:t>
      </w:r>
    </w:p>
    <w:p w14:paraId="6650F27B" w14:textId="77777777" w:rsidR="00083472" w:rsidRPr="005D6DDA" w:rsidRDefault="00083472" w:rsidP="0008347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Кортикостероиды появляются в материнском молоке и могут подавлять рост, мешать выработке эндогенных кортикостероидов или другим нежелательным эффектам.</w:t>
      </w:r>
    </w:p>
    <w:p w14:paraId="19ACC9F2" w14:textId="77777777" w:rsidR="0014334E" w:rsidRPr="005D6DDA" w:rsidRDefault="0014334E" w:rsidP="0014334E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bookmarkStart w:id="3" w:name="bookmark13"/>
      <w:bookmarkStart w:id="4" w:name="bookmark11"/>
      <w:r w:rsidRPr="005D6DDA">
        <w:rPr>
          <w:sz w:val="14"/>
          <w:szCs w:val="14"/>
        </w:rPr>
        <w:t>Форма выпуска</w:t>
      </w:r>
      <w:bookmarkEnd w:id="3"/>
      <w:r w:rsidRPr="005D6DDA">
        <w:rPr>
          <w:sz w:val="14"/>
          <w:szCs w:val="14"/>
        </w:rPr>
        <w:t>:</w:t>
      </w:r>
    </w:p>
    <w:p w14:paraId="14CC0A2E" w14:textId="48D6DB8A" w:rsidR="0014334E" w:rsidRPr="005D6DDA" w:rsidRDefault="00CA29FF" w:rsidP="0014334E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4"/>
          <w:szCs w:val="14"/>
        </w:rPr>
      </w:pPr>
      <w:r w:rsidRPr="005D6DDA">
        <w:rPr>
          <w:b w:val="0"/>
          <w:sz w:val="14"/>
          <w:szCs w:val="14"/>
        </w:rPr>
        <w:t>Таблетки покрытых кише</w:t>
      </w:r>
      <w:r w:rsidR="00EA0C11" w:rsidRPr="005D6DDA">
        <w:rPr>
          <w:b w:val="0"/>
          <w:sz w:val="14"/>
          <w:szCs w:val="14"/>
        </w:rPr>
        <w:t>чнорастворимой оболочкой 15 мг + 2,5 мг + 0,</w:t>
      </w:r>
      <w:r w:rsidRPr="005D6DDA">
        <w:rPr>
          <w:b w:val="0"/>
          <w:sz w:val="14"/>
          <w:szCs w:val="14"/>
        </w:rPr>
        <w:t>30</w:t>
      </w:r>
      <w:r w:rsidR="00EA0C11" w:rsidRPr="005D6DDA">
        <w:rPr>
          <w:b w:val="0"/>
          <w:sz w:val="14"/>
          <w:szCs w:val="14"/>
        </w:rPr>
        <w:t xml:space="preserve"> </w:t>
      </w:r>
      <w:r w:rsidRPr="005D6DDA">
        <w:rPr>
          <w:b w:val="0"/>
          <w:sz w:val="14"/>
          <w:szCs w:val="14"/>
        </w:rPr>
        <w:t>мг.</w:t>
      </w:r>
    </w:p>
    <w:p w14:paraId="72AF4234" w14:textId="0A87E1DD" w:rsidR="00CA29FF" w:rsidRPr="005D6DDA" w:rsidRDefault="00CA29FF" w:rsidP="0014334E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 w:rsidRPr="005D6DDA">
        <w:rPr>
          <w:b w:val="0"/>
          <w:sz w:val="14"/>
          <w:szCs w:val="14"/>
        </w:rPr>
        <w:t>14 таблеток в упаковке. По 7 таблеток в блистере. По два таких блистер</w:t>
      </w:r>
      <w:r w:rsidR="00610E7C">
        <w:rPr>
          <w:b w:val="0"/>
          <w:sz w:val="14"/>
          <w:szCs w:val="14"/>
        </w:rPr>
        <w:t>а</w:t>
      </w:r>
      <w:r w:rsidRPr="005D6DDA">
        <w:rPr>
          <w:b w:val="0"/>
          <w:sz w:val="14"/>
          <w:szCs w:val="14"/>
        </w:rPr>
        <w:t xml:space="preserve"> помещают в картонную пачку вместе с листком вкладышем.</w:t>
      </w:r>
    </w:p>
    <w:p w14:paraId="309CEEF0" w14:textId="77777777" w:rsidR="0014334E" w:rsidRPr="005D6DDA" w:rsidRDefault="0014334E" w:rsidP="0014334E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bookmarkStart w:id="5" w:name="bookmark14"/>
      <w:bookmarkEnd w:id="4"/>
      <w:r w:rsidRPr="005D6DDA">
        <w:rPr>
          <w:sz w:val="14"/>
          <w:szCs w:val="14"/>
        </w:rPr>
        <w:t>Условия хранения</w:t>
      </w:r>
      <w:bookmarkEnd w:id="5"/>
      <w:r w:rsidRPr="005D6DDA">
        <w:rPr>
          <w:sz w:val="14"/>
          <w:szCs w:val="14"/>
        </w:rPr>
        <w:t>:</w:t>
      </w:r>
    </w:p>
    <w:p w14:paraId="0F87441C" w14:textId="142AF2D8" w:rsidR="0014334E" w:rsidRPr="005D6DDA" w:rsidRDefault="0014334E" w:rsidP="0014334E">
      <w:pPr>
        <w:pStyle w:val="20"/>
        <w:shd w:val="clear" w:color="auto" w:fill="auto"/>
        <w:spacing w:after="0" w:line="240" w:lineRule="auto"/>
        <w:jc w:val="both"/>
        <w:rPr>
          <w:rFonts w:ascii="Times New Roman" w:eastAsia="BatangChe" w:hAnsi="Times New Roman" w:cs="Times New Roman"/>
          <w:b w:val="0"/>
          <w:sz w:val="14"/>
          <w:szCs w:val="14"/>
        </w:rPr>
      </w:pPr>
      <w:r w:rsidRPr="005D6DDA">
        <w:rPr>
          <w:rFonts w:ascii="Times New Roman" w:eastAsia="BatangChe" w:hAnsi="Times New Roman" w:cs="Times New Roman"/>
          <w:b w:val="0"/>
          <w:sz w:val="14"/>
          <w:szCs w:val="14"/>
        </w:rPr>
        <w:t>Хранить в сухом, защищенном от света месте при температуре не выше</w:t>
      </w:r>
      <w:r w:rsidR="003C78CA" w:rsidRPr="005D6DDA">
        <w:rPr>
          <w:rFonts w:ascii="Times New Roman" w:eastAsia="BatangChe" w:hAnsi="Times New Roman" w:cs="Times New Roman"/>
          <w:b w:val="0"/>
          <w:sz w:val="14"/>
          <w:szCs w:val="14"/>
        </w:rPr>
        <w:t xml:space="preserve"> 8</w:t>
      </w:r>
      <w:proofErr w:type="gramStart"/>
      <w:r w:rsidR="00511D3E" w:rsidRPr="005D6DDA">
        <w:rPr>
          <w:rFonts w:ascii="Times New Roman" w:eastAsia="BatangChe" w:hAnsi="Times New Roman" w:cs="Times New Roman"/>
          <w:b w:val="0"/>
          <w:sz w:val="14"/>
          <w:szCs w:val="14"/>
        </w:rPr>
        <w:t xml:space="preserve"> </w:t>
      </w:r>
      <w:r w:rsidR="003C78CA" w:rsidRPr="005D6DDA">
        <w:rPr>
          <w:rFonts w:ascii="Times New Roman" w:eastAsia="BatangChe" w:hAnsi="Times New Roman" w:cs="Times New Roman"/>
          <w:b w:val="0"/>
          <w:sz w:val="14"/>
          <w:szCs w:val="14"/>
        </w:rPr>
        <w:t>°С</w:t>
      </w:r>
      <w:proofErr w:type="gramEnd"/>
      <w:r w:rsidR="003C78CA" w:rsidRPr="005D6DDA">
        <w:rPr>
          <w:rFonts w:ascii="Times New Roman" w:eastAsia="BatangChe" w:hAnsi="Times New Roman" w:cs="Times New Roman"/>
          <w:b w:val="0"/>
          <w:sz w:val="14"/>
          <w:szCs w:val="14"/>
        </w:rPr>
        <w:t xml:space="preserve"> до 30</w:t>
      </w:r>
      <w:r w:rsidR="00511D3E" w:rsidRPr="005D6DDA">
        <w:rPr>
          <w:rFonts w:ascii="Times New Roman" w:eastAsia="BatangChe" w:hAnsi="Times New Roman" w:cs="Times New Roman"/>
          <w:b w:val="0"/>
          <w:sz w:val="14"/>
          <w:szCs w:val="14"/>
        </w:rPr>
        <w:t xml:space="preserve"> </w:t>
      </w:r>
      <w:r w:rsidRPr="005D6DDA">
        <w:rPr>
          <w:rFonts w:ascii="Times New Roman" w:eastAsia="BatangChe" w:hAnsi="Times New Roman" w:cs="Times New Roman"/>
          <w:b w:val="0"/>
          <w:sz w:val="14"/>
          <w:szCs w:val="14"/>
        </w:rPr>
        <w:t>°С.</w:t>
      </w:r>
    </w:p>
    <w:p w14:paraId="3774EB1E" w14:textId="77777777" w:rsidR="00EA0C11" w:rsidRPr="005D6DDA" w:rsidRDefault="00EA0C11" w:rsidP="00EA0C11">
      <w:pPr>
        <w:rPr>
          <w:rFonts w:ascii="Times New Roman" w:eastAsia="BatangChe" w:hAnsi="Times New Roman" w:cs="Times New Roman"/>
          <w:sz w:val="14"/>
          <w:szCs w:val="14"/>
        </w:rPr>
      </w:pPr>
      <w:r w:rsidRPr="005D6DDA">
        <w:rPr>
          <w:rFonts w:ascii="Times New Roman" w:eastAsia="BatangChe" w:hAnsi="Times New Roman" w:cs="Times New Roman"/>
          <w:sz w:val="14"/>
          <w:szCs w:val="14"/>
        </w:rPr>
        <w:t>Хранить</w:t>
      </w:r>
      <w:r w:rsidR="0014334E" w:rsidRPr="005D6DDA">
        <w:rPr>
          <w:rFonts w:ascii="Times New Roman" w:eastAsia="BatangChe" w:hAnsi="Times New Roman" w:cs="Times New Roman"/>
          <w:sz w:val="14"/>
          <w:szCs w:val="14"/>
        </w:rPr>
        <w:t xml:space="preserve"> препарат в недоступном для детей месте.</w:t>
      </w:r>
    </w:p>
    <w:p w14:paraId="3AFA5AA2" w14:textId="1B6CB378" w:rsidR="0014334E" w:rsidRPr="005D6DDA" w:rsidRDefault="00EA0C11" w:rsidP="00EA0C11">
      <w:pPr>
        <w:rPr>
          <w:rFonts w:ascii="Times New Roman" w:eastAsia="BatangChe" w:hAnsi="Times New Roman" w:cs="Times New Roman"/>
          <w:sz w:val="14"/>
          <w:szCs w:val="14"/>
        </w:rPr>
      </w:pPr>
      <w:r w:rsidRPr="005D6DDA">
        <w:rPr>
          <w:rFonts w:ascii="Times New Roman" w:hAnsi="Times New Roman" w:cs="Times New Roman"/>
          <w:sz w:val="14"/>
          <w:szCs w:val="14"/>
        </w:rPr>
        <w:t>Не использовать</w:t>
      </w:r>
      <w:r w:rsidR="0014334E" w:rsidRPr="005D6DDA">
        <w:rPr>
          <w:rFonts w:ascii="Times New Roman" w:hAnsi="Times New Roman" w:cs="Times New Roman"/>
          <w:sz w:val="14"/>
          <w:szCs w:val="14"/>
        </w:rPr>
        <w:t xml:space="preserve"> препарат по истечении срока годности, указанного на блистере и картонной коробке.</w:t>
      </w:r>
    </w:p>
    <w:p w14:paraId="45384D06" w14:textId="77777777" w:rsidR="0014334E" w:rsidRPr="005D6DDA" w:rsidRDefault="0014334E" w:rsidP="0014334E">
      <w:pPr>
        <w:pStyle w:val="10"/>
        <w:keepNext/>
        <w:keepLines/>
        <w:shd w:val="clear" w:color="auto" w:fill="auto"/>
        <w:spacing w:before="0" w:line="240" w:lineRule="auto"/>
        <w:rPr>
          <w:sz w:val="14"/>
          <w:szCs w:val="14"/>
        </w:rPr>
      </w:pPr>
      <w:r w:rsidRPr="005D6DDA">
        <w:rPr>
          <w:sz w:val="14"/>
          <w:szCs w:val="14"/>
        </w:rPr>
        <w:t>Условия отпуска из аптек:</w:t>
      </w:r>
    </w:p>
    <w:p w14:paraId="1BEFA923" w14:textId="77777777" w:rsidR="0014334E" w:rsidRPr="005D6DDA" w:rsidRDefault="0014334E" w:rsidP="0014334E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4"/>
          <w:szCs w:val="14"/>
        </w:rPr>
      </w:pPr>
      <w:r w:rsidRPr="005D6DDA">
        <w:rPr>
          <w:rFonts w:ascii="Times New Roman" w:hAnsi="Times New Roman" w:cs="Times New Roman"/>
          <w:b w:val="0"/>
          <w:sz w:val="14"/>
          <w:szCs w:val="14"/>
        </w:rPr>
        <w:t>По рецепту врача.</w:t>
      </w:r>
    </w:p>
    <w:p w14:paraId="543861E8" w14:textId="77777777" w:rsidR="0014334E" w:rsidRPr="005D6DDA" w:rsidRDefault="0014334E" w:rsidP="00143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</w:p>
    <w:p w14:paraId="1210D1FB" w14:textId="77777777" w:rsidR="0014334E" w:rsidRPr="005D6DDA" w:rsidRDefault="0014334E" w:rsidP="00143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5D6DDA">
        <w:rPr>
          <w:rFonts w:ascii="Times New Roman" w:hAnsi="Times New Roman" w:cs="Times New Roman"/>
          <w:b/>
          <w:bCs/>
          <w:sz w:val="14"/>
          <w:szCs w:val="14"/>
        </w:rPr>
        <w:t>Произведено для:</w:t>
      </w:r>
    </w:p>
    <w:p w14:paraId="2A5455B7" w14:textId="77777777" w:rsidR="0014334E" w:rsidRPr="005D6DDA" w:rsidRDefault="0014334E" w:rsidP="00143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5D6DDA">
        <w:rPr>
          <w:rFonts w:ascii="Times New Roman" w:hAnsi="Times New Roman" w:cs="Times New Roman"/>
          <w:b/>
          <w:bCs/>
          <w:sz w:val="14"/>
          <w:szCs w:val="14"/>
          <w:lang w:val="en-US"/>
        </w:rPr>
        <w:t>MAXX</w:t>
      </w:r>
      <w:r w:rsidRPr="005D6DDA">
        <w:rPr>
          <w:rFonts w:ascii="Times New Roman" w:hAnsi="Times New Roman" w:cs="Times New Roman"/>
          <w:b/>
          <w:bCs/>
          <w:sz w:val="14"/>
          <w:szCs w:val="14"/>
        </w:rPr>
        <w:t>-</w:t>
      </w:r>
      <w:r w:rsidRPr="005D6DDA">
        <w:rPr>
          <w:rFonts w:ascii="Times New Roman" w:hAnsi="Times New Roman" w:cs="Times New Roman"/>
          <w:b/>
          <w:bCs/>
          <w:sz w:val="14"/>
          <w:szCs w:val="14"/>
          <w:lang w:val="en-US"/>
        </w:rPr>
        <w:t>PHARMA</w:t>
      </w:r>
      <w:r w:rsidRPr="005D6DDA">
        <w:rPr>
          <w:rFonts w:ascii="Times New Roman" w:hAnsi="Times New Roman" w:cs="Times New Roman"/>
          <w:b/>
          <w:bCs/>
          <w:sz w:val="14"/>
          <w:szCs w:val="14"/>
        </w:rPr>
        <w:t xml:space="preserve"> </w:t>
      </w:r>
      <w:r w:rsidRPr="005D6DDA">
        <w:rPr>
          <w:rFonts w:ascii="Times New Roman" w:hAnsi="Times New Roman" w:cs="Times New Roman"/>
          <w:b/>
          <w:bCs/>
          <w:sz w:val="14"/>
          <w:szCs w:val="14"/>
          <w:lang w:val="en-US"/>
        </w:rPr>
        <w:t>LTD</w:t>
      </w:r>
    </w:p>
    <w:p w14:paraId="0069048F" w14:textId="77777777" w:rsidR="0014334E" w:rsidRPr="005D6DDA" w:rsidRDefault="0014334E" w:rsidP="00143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5D6DDA">
        <w:rPr>
          <w:rFonts w:ascii="Times New Roman" w:hAnsi="Times New Roman" w:cs="Times New Roman"/>
          <w:b/>
          <w:bCs/>
          <w:sz w:val="14"/>
          <w:szCs w:val="14"/>
        </w:rPr>
        <w:t>Лондон, Великобритания</w:t>
      </w:r>
    </w:p>
    <w:p w14:paraId="57E08278" w14:textId="77777777" w:rsidR="0014334E" w:rsidRPr="005D6DDA" w:rsidRDefault="0014334E" w:rsidP="00143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</w:p>
    <w:p w14:paraId="4F445E84" w14:textId="1EC5A757" w:rsidR="00E04CCC" w:rsidRPr="005D6DDA" w:rsidRDefault="00E04CCC">
      <w:pPr>
        <w:rPr>
          <w:rFonts w:ascii="Times New Roman" w:eastAsia="BatangChe" w:hAnsi="Times New Roman" w:cs="Times New Roman"/>
          <w:sz w:val="14"/>
          <w:szCs w:val="14"/>
          <w:lang w:val="en-US"/>
        </w:rPr>
      </w:pPr>
      <w:bookmarkStart w:id="6" w:name="_GoBack"/>
      <w:bookmarkEnd w:id="6"/>
    </w:p>
    <w:sectPr w:rsidR="00E04CCC" w:rsidRPr="005D6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A764B"/>
    <w:multiLevelType w:val="hybridMultilevel"/>
    <w:tmpl w:val="DBAAB5CC"/>
    <w:lvl w:ilvl="0" w:tplc="6E041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E"/>
    <w:rsid w:val="00083472"/>
    <w:rsid w:val="000F0F05"/>
    <w:rsid w:val="0014334E"/>
    <w:rsid w:val="0017036F"/>
    <w:rsid w:val="00194669"/>
    <w:rsid w:val="001F1F2D"/>
    <w:rsid w:val="002D4A88"/>
    <w:rsid w:val="00307EB1"/>
    <w:rsid w:val="00371F14"/>
    <w:rsid w:val="003C78CA"/>
    <w:rsid w:val="004A3C8E"/>
    <w:rsid w:val="00511D3E"/>
    <w:rsid w:val="00562ACE"/>
    <w:rsid w:val="005C653D"/>
    <w:rsid w:val="005D6DDA"/>
    <w:rsid w:val="00610E7C"/>
    <w:rsid w:val="00656A47"/>
    <w:rsid w:val="00682E4D"/>
    <w:rsid w:val="00695D03"/>
    <w:rsid w:val="007154FC"/>
    <w:rsid w:val="00753A74"/>
    <w:rsid w:val="00756E06"/>
    <w:rsid w:val="00926DC0"/>
    <w:rsid w:val="00964C7F"/>
    <w:rsid w:val="00A831CC"/>
    <w:rsid w:val="00AA5F36"/>
    <w:rsid w:val="00B75B0C"/>
    <w:rsid w:val="00BC46AA"/>
    <w:rsid w:val="00CA29FF"/>
    <w:rsid w:val="00D75195"/>
    <w:rsid w:val="00DA291E"/>
    <w:rsid w:val="00E04CCC"/>
    <w:rsid w:val="00E36D72"/>
    <w:rsid w:val="00E4644B"/>
    <w:rsid w:val="00EA0C11"/>
    <w:rsid w:val="00F7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3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4334E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334E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14334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43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4334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14334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143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4334E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14334E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4334E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334E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14334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43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4334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14334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143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4334E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14334E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2024-01-08T10:22:00Z</dcterms:created>
  <dcterms:modified xsi:type="dcterms:W3CDTF">2024-01-22T03:22:00Z</dcterms:modified>
</cp:coreProperties>
</file>