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148" w:rsidRPr="00EE7D6F" w:rsidRDefault="00674148" w:rsidP="00C7108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7D6F">
        <w:rPr>
          <w:rFonts w:ascii="Times New Roman" w:hAnsi="Times New Roman" w:cs="Times New Roman"/>
          <w:b/>
          <w:sz w:val="20"/>
          <w:szCs w:val="20"/>
        </w:rPr>
        <w:t xml:space="preserve">ЛАЗОЛМАКС </w:t>
      </w:r>
    </w:p>
    <w:p w:rsidR="00C42FC1" w:rsidRDefault="00674148" w:rsidP="00C7108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7D6F">
        <w:rPr>
          <w:rFonts w:ascii="Times New Roman" w:hAnsi="Times New Roman" w:cs="Times New Roman"/>
          <w:b/>
          <w:sz w:val="20"/>
          <w:szCs w:val="20"/>
        </w:rPr>
        <w:t xml:space="preserve">Инструкция </w:t>
      </w:r>
    </w:p>
    <w:p w:rsidR="00674148" w:rsidRPr="00EE7D6F" w:rsidRDefault="00674148" w:rsidP="00C7108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7D6F">
        <w:rPr>
          <w:rFonts w:ascii="Times New Roman" w:hAnsi="Times New Roman" w:cs="Times New Roman"/>
          <w:b/>
          <w:sz w:val="20"/>
          <w:szCs w:val="20"/>
        </w:rPr>
        <w:t>по медицинскому применению лекарственного средства</w:t>
      </w:r>
    </w:p>
    <w:p w:rsidR="0012037C" w:rsidRPr="00EE7D6F" w:rsidRDefault="0012037C" w:rsidP="00674148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61F5D" w:rsidRPr="0012037C" w:rsidRDefault="00761F5D" w:rsidP="00674148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Торговое название:</w:t>
      </w:r>
      <w:r w:rsidR="00674148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</w:t>
      </w:r>
      <w:proofErr w:type="spellStart"/>
      <w:r w:rsidR="00674148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Лазолмакс</w:t>
      </w:r>
      <w:proofErr w:type="spellEnd"/>
      <w:r w:rsidR="00674148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761F5D" w:rsidRPr="0012037C" w:rsidRDefault="00761F5D" w:rsidP="00674148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Международное непатентованное название:</w:t>
      </w:r>
      <w:r w:rsidR="00674148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="00B139B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мброксол</w:t>
      </w:r>
      <w:proofErr w:type="spellEnd"/>
      <w:r w:rsidR="00674148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+ </w:t>
      </w:r>
      <w:proofErr w:type="spellStart"/>
      <w:r w:rsidR="00674148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цетиризин</w:t>
      </w:r>
      <w:proofErr w:type="spellEnd"/>
      <w:r w:rsidR="00674148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761F5D" w:rsidRPr="0012037C" w:rsidRDefault="00761F5D" w:rsidP="00674148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Лекарственная форма:</w:t>
      </w:r>
      <w:r w:rsidR="00674148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12037C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ироп</w:t>
      </w:r>
      <w:r w:rsidR="00674148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для приема внутрь.</w:t>
      </w:r>
    </w:p>
    <w:p w:rsidR="00EE35EB" w:rsidRPr="0012037C" w:rsidRDefault="00761F5D" w:rsidP="00674148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Состав:</w:t>
      </w:r>
      <w:r w:rsidR="00674148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205767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5 мл сиропа содержи</w:t>
      </w:r>
      <w:r w:rsidRPr="0012037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т:</w:t>
      </w:r>
      <w:r w:rsidR="00674148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EE35EB" w:rsidRPr="0012037C" w:rsidRDefault="00EE35EB" w:rsidP="00EE35EB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Амброксола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гидрохлорид ВР        15 мг</w:t>
      </w:r>
      <w:r w:rsidR="0012037C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EE35EB" w:rsidRPr="0012037C" w:rsidRDefault="00EE35EB" w:rsidP="00EE35EB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Цетиризина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гидрохлорид ВР       </w:t>
      </w:r>
      <w:r w:rsidR="00C42F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2,5 мг</w:t>
      </w:r>
      <w:r w:rsidR="0012037C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761F5D" w:rsidRPr="0012037C" w:rsidRDefault="00761F5D" w:rsidP="00EE35EB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Описание:</w:t>
      </w:r>
    </w:p>
    <w:p w:rsidR="00761F5D" w:rsidRPr="0012037C" w:rsidRDefault="00761F5D" w:rsidP="00C7108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Прозрачная или почти прозрачная, бесцветная или почти бесцветная, слегка вязкая жидкость с запахом лесных ягод.</w:t>
      </w: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proofErr w:type="spellStart"/>
      <w:proofErr w:type="gramStart"/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Фармако</w:t>
      </w:r>
      <w:proofErr w:type="spellEnd"/>
      <w:r w:rsidR="0012037C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-</w:t>
      </w: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терапевтическая</w:t>
      </w:r>
      <w:proofErr w:type="gramEnd"/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группа:</w:t>
      </w:r>
    </w:p>
    <w:p w:rsidR="00761F5D" w:rsidRPr="0012037C" w:rsidRDefault="00761F5D" w:rsidP="00C71080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Отхаркивающее,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муколитическое</w:t>
      </w:r>
      <w:proofErr w:type="spellEnd"/>
      <w:r w:rsidR="00674148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антигистаминное 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средство</w:t>
      </w:r>
      <w:r w:rsidR="0012037C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761F5D" w:rsidRPr="00EE7D6F" w:rsidRDefault="00761F5D" w:rsidP="00EE7D6F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Код ATX:</w:t>
      </w:r>
      <w:r w:rsidR="00EE7D6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R05СВ06</w:t>
      </w:r>
      <w:r w:rsidR="00B139B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Фармакологическое действие</w:t>
      </w:r>
      <w:r w:rsidR="0012037C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FB5CB2" w:rsidRPr="0012037C" w:rsidRDefault="00FB5CB2" w:rsidP="00C71080">
      <w:pPr>
        <w:outlineLvl w:val="2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proofErr w:type="spellStart"/>
      <w:r w:rsidRPr="0012037C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Фармакодинамика</w:t>
      </w:r>
      <w:proofErr w:type="spellEnd"/>
      <w:r w:rsidRPr="0012037C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:</w:t>
      </w:r>
    </w:p>
    <w:p w:rsidR="00FB5CB2" w:rsidRPr="0012037C" w:rsidRDefault="00FB5CB2" w:rsidP="00C71080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2037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Амброксол</w:t>
      </w:r>
      <w:proofErr w:type="spellEnd"/>
      <w:r w:rsidRPr="0012037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: </w:t>
      </w:r>
      <w:r w:rsidR="00761F5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исследованиях показано, что </w:t>
      </w:r>
      <w:proofErr w:type="spellStart"/>
      <w:r w:rsidR="00761F5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мброксол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— активный ингредиент препарата</w:t>
      </w:r>
      <w:r w:rsidR="00C42F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761F5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увеличивает секрецию в дыхательных путях. Он усиливает продукцию </w:t>
      </w:r>
      <w:proofErr w:type="gramStart"/>
      <w:r w:rsidR="00761F5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легочного</w:t>
      </w:r>
      <w:proofErr w:type="gramEnd"/>
      <w:r w:rsidR="00761F5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761F5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сурфактанта</w:t>
      </w:r>
      <w:proofErr w:type="spellEnd"/>
      <w:r w:rsidR="00761F5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стимулирует цилиарную активность. Эти эффекты приводят к усилению тока и транспорта слизи (</w:t>
      </w:r>
      <w:proofErr w:type="spellStart"/>
      <w:r w:rsidR="00761F5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мукоцилиарного</w:t>
      </w:r>
      <w:proofErr w:type="spellEnd"/>
      <w:r w:rsidR="00761F5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клиренса). Усиление </w:t>
      </w:r>
      <w:proofErr w:type="spellStart"/>
      <w:r w:rsidR="00761F5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мукоцилиарного</w:t>
      </w:r>
      <w:proofErr w:type="spellEnd"/>
      <w:r w:rsidR="00761F5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клиренса улучшает отхождение мокроты и облегчает кашель. </w:t>
      </w:r>
    </w:p>
    <w:p w:rsidR="00FB5CB2" w:rsidRPr="0012037C" w:rsidRDefault="00FB5CB2" w:rsidP="00FB5CB2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2037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Цетиризин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является противоаллергическим средством.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Цетиризин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селективный антагонист Н</w:t>
      </w:r>
      <w:proofErr w:type="gram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proofErr w:type="gram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-рецепторов, который не имеет заметного антихолинергического и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антисеротонинового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действия.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Цетиризин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проникает через ГЭБ.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Цетиризин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тормозит раннюю фазу аллергической реакции, а также уменьшает миграцию клеток воспаления, таких как эозинофилы, подавляет выделение медиаторов, которые участвуют в поздней аллергической реакции.</w:t>
      </w:r>
    </w:p>
    <w:p w:rsidR="00FB5CB2" w:rsidRPr="0012037C" w:rsidRDefault="00FB5CB2" w:rsidP="00FB5CB2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Цетиризин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значительно снижает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гиперактивность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бронхиального дерева, которое возникает в ответ на высвобождение гистамина у больных бронхиальной астмой. Эти эффекты препарата не сопровождаются центральным действием, что подтверждается психометрическими тестами и данными ЭКГ.</w:t>
      </w:r>
    </w:p>
    <w:p w:rsidR="0026641D" w:rsidRPr="0012037C" w:rsidRDefault="00761F5D" w:rsidP="00C71080">
      <w:pP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proofErr w:type="spellStart"/>
      <w:r w:rsidRPr="0012037C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Фармакокинетика</w:t>
      </w:r>
      <w:proofErr w:type="spellEnd"/>
    </w:p>
    <w:p w:rsidR="0026641D" w:rsidRPr="0012037C" w:rsidRDefault="0026641D" w:rsidP="0026641D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2037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Амброксол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приема внутрь  очень хорошо всасывается, </w:t>
      </w:r>
      <w:proofErr w:type="spellStart"/>
      <w:proofErr w:type="gram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proofErr w:type="gram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max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плазме крови достигается через 0,5-3 ч. Связывание с белками плазмы - 80%. Проникает через ГЭБ, плацентарный барьер, выделяется с грудным молоком.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Метаболизируется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печени с образованием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дибромантраниловой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кислоты и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глюкуроновых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конъюгатов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Т ½   составляет 1 ч. Выводится почками: 90% - в виде водорастворимых метаболитов, 5% - в неизмененном виде.</w:t>
      </w:r>
    </w:p>
    <w:p w:rsidR="0026641D" w:rsidRPr="0012037C" w:rsidRDefault="0026641D" w:rsidP="0026641D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2037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Цетиризин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быстро всасывается при приеме внутрь, период полувыведения у взрослых составляет 7,9 ± 1,9 часа.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Цетиризин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его метаболиты в основном выводятся из организма с мочой.</w:t>
      </w:r>
    </w:p>
    <w:p w:rsidR="00761F5D" w:rsidRPr="0012037C" w:rsidRDefault="0026641D" w:rsidP="0026641D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2037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Фармакокинетика</w:t>
      </w:r>
      <w:proofErr w:type="spellEnd"/>
      <w:r w:rsidRPr="0012037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в особых клинических случаях: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 ½  увеличивается при тяжелой хронической почечной недостаточности, не меняется при нарушении функции печени.</w:t>
      </w: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Показания к применению</w:t>
      </w:r>
      <w:r w:rsidR="0026641D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26641D" w:rsidRPr="0012037C" w:rsidRDefault="0012037C" w:rsidP="0026641D">
      <w:pPr>
        <w:outlineLvl w:val="2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- </w:t>
      </w:r>
      <w:r w:rsidR="0026641D" w:rsidRPr="0012037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заболевания дыхательных путей с выделением вязкой мокроты;</w:t>
      </w:r>
    </w:p>
    <w:p w:rsidR="0026641D" w:rsidRPr="0012037C" w:rsidRDefault="0012037C" w:rsidP="0026641D">
      <w:pPr>
        <w:outlineLvl w:val="2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- </w:t>
      </w:r>
      <w:r w:rsidR="0026641D" w:rsidRPr="0012037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бронхиальная астма с затруднением отхождения мокроты;</w:t>
      </w:r>
    </w:p>
    <w:p w:rsidR="0026641D" w:rsidRPr="0012037C" w:rsidRDefault="0012037C" w:rsidP="0026641D">
      <w:pPr>
        <w:outlineLvl w:val="2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- </w:t>
      </w:r>
      <w:r w:rsidR="0026641D" w:rsidRPr="0012037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острый и хронический бронхит;</w:t>
      </w:r>
    </w:p>
    <w:p w:rsidR="0026641D" w:rsidRPr="0012037C" w:rsidRDefault="0012037C" w:rsidP="0026641D">
      <w:pPr>
        <w:outlineLvl w:val="2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- </w:t>
      </w:r>
      <w:r w:rsidR="0026641D" w:rsidRPr="0012037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пневмония;</w:t>
      </w:r>
    </w:p>
    <w:p w:rsidR="0026641D" w:rsidRPr="0012037C" w:rsidRDefault="0012037C" w:rsidP="0026641D">
      <w:pPr>
        <w:outlineLvl w:val="2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- </w:t>
      </w:r>
      <w:r w:rsidR="0026641D" w:rsidRPr="0012037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бронхоэктатическая болезнь;</w:t>
      </w:r>
    </w:p>
    <w:p w:rsidR="0026641D" w:rsidRPr="0012037C" w:rsidRDefault="0012037C" w:rsidP="0026641D">
      <w:pPr>
        <w:outlineLvl w:val="2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- </w:t>
      </w:r>
      <w:r w:rsidR="0026641D" w:rsidRPr="0012037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хронические </w:t>
      </w:r>
      <w:proofErr w:type="spellStart"/>
      <w:r w:rsidR="0026641D" w:rsidRPr="0012037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обструктивные</w:t>
      </w:r>
      <w:proofErr w:type="spellEnd"/>
      <w:r w:rsidR="0026641D" w:rsidRPr="0012037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болезни легких.</w:t>
      </w: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Противопоказания</w:t>
      </w:r>
      <w:r w:rsidR="0026641D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26641D" w:rsidRPr="0012037C" w:rsidRDefault="00EE7D6F" w:rsidP="00EE7D6F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26641D" w:rsidRPr="0012037C">
        <w:rPr>
          <w:rFonts w:ascii="Times New Roman" w:hAnsi="Times New Roman" w:cs="Times New Roman"/>
          <w:sz w:val="20"/>
          <w:szCs w:val="20"/>
        </w:rPr>
        <w:t>повышенная чувствительность к компонентам препарата;</w:t>
      </w:r>
    </w:p>
    <w:p w:rsidR="0026641D" w:rsidRPr="0012037C" w:rsidRDefault="00EE7D6F" w:rsidP="00EE7D6F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26641D" w:rsidRPr="0012037C">
        <w:rPr>
          <w:rFonts w:ascii="Times New Roman" w:hAnsi="Times New Roman" w:cs="Times New Roman"/>
          <w:sz w:val="20"/>
          <w:szCs w:val="20"/>
        </w:rPr>
        <w:t>тяжелые заболевания почек.</w:t>
      </w:r>
    </w:p>
    <w:p w:rsidR="0026641D" w:rsidRPr="0012037C" w:rsidRDefault="0026641D" w:rsidP="0012037C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2037C">
        <w:rPr>
          <w:rFonts w:ascii="Times New Roman" w:hAnsi="Times New Roman" w:cs="Times New Roman"/>
          <w:i/>
          <w:sz w:val="20"/>
          <w:szCs w:val="20"/>
        </w:rPr>
        <w:t>С осторожностью</w:t>
      </w:r>
      <w:r w:rsidRPr="0012037C">
        <w:rPr>
          <w:rFonts w:ascii="Times New Roman" w:hAnsi="Times New Roman" w:cs="Times New Roman"/>
          <w:sz w:val="20"/>
          <w:szCs w:val="20"/>
        </w:rPr>
        <w:t xml:space="preserve"> назначают лекарство при </w:t>
      </w:r>
      <w:proofErr w:type="gramStart"/>
      <w:r w:rsidRPr="0012037C">
        <w:rPr>
          <w:rFonts w:ascii="Times New Roman" w:hAnsi="Times New Roman" w:cs="Times New Roman"/>
          <w:sz w:val="20"/>
          <w:szCs w:val="20"/>
        </w:rPr>
        <w:t>хроническом</w:t>
      </w:r>
      <w:proofErr w:type="gramEnd"/>
      <w:r w:rsidRPr="0012037C">
        <w:rPr>
          <w:rFonts w:ascii="Times New Roman" w:hAnsi="Times New Roman" w:cs="Times New Roman"/>
          <w:sz w:val="20"/>
          <w:szCs w:val="20"/>
        </w:rPr>
        <w:t xml:space="preserve"> пиелонефрите средней и тяжелой степени тяжести, при почечной недостаточности (требуется коррекция режима дозирования).</w:t>
      </w: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Способ применения и дозы</w:t>
      </w:r>
      <w:r w:rsidR="0026641D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12037C" w:rsidRPr="0012037C" w:rsidRDefault="0026641D" w:rsidP="0026641D">
      <w:pPr>
        <w:spacing w:after="200" w:line="276" w:lineRule="auto"/>
        <w:rPr>
          <w:rFonts w:ascii="Times New Roman" w:hAnsi="Times New Roman" w:cs="Times New Roman"/>
          <w:sz w:val="20"/>
          <w:szCs w:val="20"/>
        </w:rPr>
      </w:pPr>
      <w:r w:rsidRPr="0012037C">
        <w:rPr>
          <w:rFonts w:ascii="Times New Roman" w:hAnsi="Times New Roman" w:cs="Times New Roman"/>
          <w:sz w:val="20"/>
          <w:szCs w:val="20"/>
        </w:rPr>
        <w:t>Препарат назначают внутрь, во время приема пищи, запивая небольшим количеством жидкости. При лечении, продолжающемся более 7–14 дней, дозу уменьшают в 2 раза. Не рекомендуется применять без врачебного назначения более чем в течение 4-5 дней.</w:t>
      </w:r>
      <w:r w:rsidR="0012037C" w:rsidRPr="0012037C">
        <w:rPr>
          <w:rFonts w:ascii="Times New Roman" w:hAnsi="Times New Roman" w:cs="Times New Roman"/>
          <w:sz w:val="20"/>
          <w:szCs w:val="20"/>
        </w:rPr>
        <w:t xml:space="preserve"> </w:t>
      </w:r>
      <w:r w:rsidRPr="0012037C">
        <w:rPr>
          <w:rFonts w:ascii="Times New Roman" w:hAnsi="Times New Roman" w:cs="Times New Roman"/>
          <w:sz w:val="20"/>
          <w:szCs w:val="20"/>
        </w:rPr>
        <w:t xml:space="preserve">Во время лечения необходимо употреблять много жидкости (соки, чай, вода), так как она усиливает </w:t>
      </w:r>
      <w:proofErr w:type="spellStart"/>
      <w:r w:rsidRPr="0012037C">
        <w:rPr>
          <w:rFonts w:ascii="Times New Roman" w:hAnsi="Times New Roman" w:cs="Times New Roman"/>
          <w:sz w:val="20"/>
          <w:szCs w:val="20"/>
        </w:rPr>
        <w:t>муколитический</w:t>
      </w:r>
      <w:proofErr w:type="spellEnd"/>
      <w:r w:rsidRPr="0012037C">
        <w:rPr>
          <w:rFonts w:ascii="Times New Roman" w:hAnsi="Times New Roman" w:cs="Times New Roman"/>
          <w:sz w:val="20"/>
          <w:szCs w:val="20"/>
        </w:rPr>
        <w:t xml:space="preserve"> эффект препарата.</w:t>
      </w:r>
      <w:r w:rsidR="0012037C" w:rsidRPr="0012037C">
        <w:rPr>
          <w:rFonts w:ascii="Times New Roman" w:hAnsi="Times New Roman" w:cs="Times New Roman"/>
          <w:sz w:val="20"/>
          <w:szCs w:val="20"/>
        </w:rPr>
        <w:t xml:space="preserve"> </w:t>
      </w:r>
      <w:r w:rsidR="00277A05">
        <w:rPr>
          <w:rFonts w:ascii="Times New Roman" w:hAnsi="Times New Roman" w:cs="Times New Roman"/>
          <w:sz w:val="20"/>
          <w:szCs w:val="20"/>
        </w:rPr>
        <w:t xml:space="preserve">Не рекомендуется принимать препарат  поздно вечером и ночью. </w:t>
      </w:r>
      <w:r w:rsidR="0012037C" w:rsidRPr="0012037C">
        <w:rPr>
          <w:rFonts w:ascii="Times New Roman" w:hAnsi="Times New Roman" w:cs="Times New Roman"/>
          <w:sz w:val="20"/>
          <w:szCs w:val="20"/>
        </w:rPr>
        <w:t>Рекомендуемая дозировка:</w:t>
      </w:r>
    </w:p>
    <w:p w:rsidR="0026641D" w:rsidRPr="0012037C" w:rsidRDefault="0012037C" w:rsidP="0012037C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2037C">
        <w:rPr>
          <w:rFonts w:ascii="Times New Roman" w:hAnsi="Times New Roman" w:cs="Times New Roman"/>
          <w:sz w:val="20"/>
          <w:szCs w:val="20"/>
        </w:rPr>
        <w:t xml:space="preserve">- детям </w:t>
      </w:r>
      <w:r w:rsidR="0026641D" w:rsidRPr="0012037C">
        <w:rPr>
          <w:rFonts w:ascii="Times New Roman" w:hAnsi="Times New Roman" w:cs="Times New Roman"/>
          <w:sz w:val="20"/>
          <w:szCs w:val="20"/>
        </w:rPr>
        <w:t>до 2-х лет - по 2,5 мл 2 раза в день;</w:t>
      </w:r>
    </w:p>
    <w:p w:rsidR="0026641D" w:rsidRPr="0012037C" w:rsidRDefault="0012037C" w:rsidP="0012037C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2037C">
        <w:rPr>
          <w:rFonts w:ascii="Times New Roman" w:hAnsi="Times New Roman" w:cs="Times New Roman"/>
          <w:sz w:val="20"/>
          <w:szCs w:val="20"/>
        </w:rPr>
        <w:t xml:space="preserve">- детям </w:t>
      </w:r>
      <w:r w:rsidR="0026641D" w:rsidRPr="0012037C">
        <w:rPr>
          <w:rFonts w:ascii="Times New Roman" w:hAnsi="Times New Roman" w:cs="Times New Roman"/>
          <w:sz w:val="20"/>
          <w:szCs w:val="20"/>
        </w:rPr>
        <w:t>от 2 до 5 лет - по 2,5 мл 3 раза в день;</w:t>
      </w:r>
    </w:p>
    <w:p w:rsidR="0026641D" w:rsidRPr="0012037C" w:rsidRDefault="0012037C" w:rsidP="0012037C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2037C">
        <w:rPr>
          <w:rFonts w:ascii="Times New Roman" w:hAnsi="Times New Roman" w:cs="Times New Roman"/>
          <w:sz w:val="20"/>
          <w:szCs w:val="20"/>
        </w:rPr>
        <w:t xml:space="preserve">- детям </w:t>
      </w:r>
      <w:r w:rsidR="0026641D" w:rsidRPr="0012037C">
        <w:rPr>
          <w:rFonts w:ascii="Times New Roman" w:hAnsi="Times New Roman" w:cs="Times New Roman"/>
          <w:sz w:val="20"/>
          <w:szCs w:val="20"/>
        </w:rPr>
        <w:t>старше 5 лет - по 5 мл 2-3 раза в день.</w:t>
      </w:r>
    </w:p>
    <w:p w:rsidR="00EE7D6F" w:rsidRDefault="00EE7D6F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Побочное действие</w:t>
      </w:r>
      <w:r w:rsidR="0026641D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761F5D" w:rsidRPr="0012037C" w:rsidRDefault="00761F5D" w:rsidP="00C71080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Нарушения со стороны желудочно-кишечного тракта</w:t>
      </w:r>
      <w:r w:rsidRPr="0012037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br/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Часто (1,0-10,0%)-тошн</w:t>
      </w:r>
      <w:r w:rsidR="0026641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ота, снижение чувствительности в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полости рта или глотке; 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Нечасто (0,1-1,0%)-диспепсия</w:t>
      </w:r>
      <w:r w:rsidR="0026641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рвота, диарея, абдоминальная боль, сухость во рту; 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Редко (0,01-0,1%) - сухость в горле. 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12037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Расстройства иммунной системы, поражения кожи и подкожных тканей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Редко (0,01-0.1%)-сыпь, крапивница; анафилактические реакции (включая анафилактический шок)*, ангионевротический отек", зуд*, гиперчувствительность. 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12037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Расстройства со стороны нервной системы</w:t>
      </w:r>
    </w:p>
    <w:p w:rsidR="00761F5D" w:rsidRPr="0012037C" w:rsidRDefault="00761F5D" w:rsidP="00C71080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Часто (1,0-10,0 %) -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дисгевзия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(нарушение вкусовых ощущений)</w:t>
      </w:r>
      <w:proofErr w:type="gram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proofErr w:type="gram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* - </w:t>
      </w:r>
      <w:proofErr w:type="gram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proofErr w:type="gram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анные побочные реакции наблюдались при широком применении препарата; с 95 % вероятностью частота данных побочных реакций - нечасто (0,1 %-1,0%), но возможно и ниже; точную частоту трудно оценить, так как они не были отмечены при проведении клинических исследований.</w:t>
      </w: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Передозировка</w:t>
      </w:r>
      <w:r w:rsidR="00EA740D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761F5D" w:rsidRPr="0012037C" w:rsidRDefault="00761F5D" w:rsidP="00C71080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Специфических симптомов передозировки у человека не описано. 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Имеются сообщения о случайной передозировке и/или медицинской ошибке, в результате которых наблюдались симптомы известных побочных эффектов препарата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Лазол</w:t>
      </w:r>
      <w:r w:rsidR="00EE35EB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макс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 тошнота, диспепсия, диарея, рвота, абдоминальная боль. При этом возможна необходимость в симптоматической терапии. 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12037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Лечение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: искусственная рвота, промывание желудка </w:t>
      </w:r>
      <w:proofErr w:type="gram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первые</w:t>
      </w:r>
      <w:proofErr w:type="gram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1-2 часа после приема препарата, симптоматическая терапия.</w:t>
      </w: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Взаимодействие с другими лекарственными средствами</w:t>
      </w:r>
      <w:r w:rsidR="00EA740D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761F5D" w:rsidRPr="0012037C" w:rsidRDefault="00761F5D" w:rsidP="00C71080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 клинически значимых,</w:t>
      </w:r>
      <w:r w:rsidR="0012037C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нежелательных взаимодействиях с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другими лекарственными средствами не сообщалось. Увеличивает проникновение в бронхиальный секрет амоксициллина,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цефуроксима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эритромицина.</w:t>
      </w: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Особые указания</w:t>
      </w:r>
      <w:r w:rsidR="00EA740D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6B0156" w:rsidRPr="0012037C" w:rsidRDefault="00761F5D" w:rsidP="00C71080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 следует комбинировать с противокашлевыми средствами, затрудняющими выведение мокроты</w:t>
      </w:r>
      <w:r w:rsidR="0026641D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Имеются единичные сообщения о тяжелых поражениях кожи, таких как синдром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Стивенса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-Джонсона и токсический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эпидермальный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некролиз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совпавшие по времени с назначением отх</w:t>
      </w:r>
      <w:r w:rsidR="0012037C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аркивающих препаратов, содержащих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амброксола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гидрохлорид</w:t>
      </w:r>
      <w:r w:rsidR="006B0156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761F5D" w:rsidRPr="0012037C" w:rsidRDefault="00761F5D" w:rsidP="00C71080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большинстве случаев они могут быть объяснены тяжестью основного заболевания и/или сопутствующей терапией</w:t>
      </w:r>
      <w:r w:rsidR="006B0156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пациентов с синдромом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Стивенса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-Джонсона или токсическим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эпидермальным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некролизом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ранней фазе могут появляться температура, боль в теле, ринит, кашель и боль в горле</w:t>
      </w:r>
      <w:r w:rsidR="006B0156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При симптоматическом лечении возможно ошибочное назначение противопростудных средств. При появлении новых поражений кожи и слизистых рекомендуется прекратить лечение </w:t>
      </w:r>
      <w:r w:rsidR="0012037C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препаратом, содержащем </w:t>
      </w:r>
      <w:proofErr w:type="spellStart"/>
      <w:r w:rsidR="0012037C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амброксол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немедленно обратиться за медицинской помощью. 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При нарушении функции почек </w:t>
      </w:r>
      <w:proofErr w:type="spell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Лазол</w:t>
      </w:r>
      <w:r w:rsidR="00EE35EB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макс</w:t>
      </w:r>
      <w:proofErr w:type="spell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необходимо применять только по рекомендации врача.</w:t>
      </w: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Влияние препарата на способность управлять транспортными средствами и механизмами</w:t>
      </w:r>
      <w:r w:rsidR="00EA740D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761F5D" w:rsidRPr="0012037C" w:rsidRDefault="00761F5D" w:rsidP="00C7108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 было вы</w:t>
      </w:r>
      <w:r w:rsidR="006B0156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явлено случаев влияния препарата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способность </w:t>
      </w:r>
      <w:proofErr w:type="gramStart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управлять</w:t>
      </w:r>
      <w:proofErr w:type="gramEnd"/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транспортными средствами и механизмами. Исследования по влиянию препарата на способность управлять транс</w:t>
      </w:r>
      <w:r w:rsidR="006B0156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портными средствами и занятию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другими потенциально опасными видами деятельности, требующими повышенной концентрации внимания и быстроты психомоторных реакций не проводились.</w:t>
      </w: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Форма выпуска</w:t>
      </w:r>
      <w:r w:rsidR="00EA740D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761F5D" w:rsidRPr="0012037C" w:rsidRDefault="00761F5D" w:rsidP="00C71080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Сироп 15 мг/5мл. 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По 100 мл в стеклянные флаконы янтарного или коричневого стекла с безопасным для детей пластиковым навинчиваемым колпачком с резьбой и контролем первого вскрытия. Флакон помещают в картонную пачку с инструкцией по</w:t>
      </w:r>
      <w:r w:rsidR="006B0156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применению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Условия хранения</w:t>
      </w:r>
      <w:r w:rsidR="00EA740D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761F5D" w:rsidRPr="0012037C" w:rsidRDefault="00761F5D" w:rsidP="00C7108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температуре не выше 25</w:t>
      </w:r>
      <w:r w:rsidR="00C42F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°С. 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Хранить в недоступном для детей месте.</w:t>
      </w: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Срок годности</w:t>
      </w:r>
      <w:r w:rsidR="00EA740D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761F5D" w:rsidRPr="0012037C" w:rsidRDefault="00761F5D" w:rsidP="00C71080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 года</w:t>
      </w:r>
      <w:r w:rsidR="00EE35EB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12037C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EE35EB"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 использовать по истечении срока годности, указанного на упаковке.</w:t>
      </w:r>
    </w:p>
    <w:p w:rsidR="00761F5D" w:rsidRPr="0012037C" w:rsidRDefault="00761F5D" w:rsidP="00C71080">
      <w:pPr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Условия отпуска из аптек</w:t>
      </w:r>
      <w:r w:rsidR="00EA740D" w:rsidRPr="001203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EE35EB" w:rsidRPr="0012037C" w:rsidRDefault="00761F5D" w:rsidP="00C71080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03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Без рецепта.</w:t>
      </w:r>
    </w:p>
    <w:p w:rsidR="00C71080" w:rsidRPr="0012037C" w:rsidRDefault="00C71080" w:rsidP="00C71080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E35EB" w:rsidRPr="0012037C" w:rsidRDefault="00EE35EB" w:rsidP="00C71080">
      <w:pPr>
        <w:pStyle w:val="3"/>
        <w:spacing w:before="0" w:beforeAutospacing="0" w:after="0" w:afterAutospacing="0"/>
        <w:rPr>
          <w:sz w:val="20"/>
          <w:szCs w:val="20"/>
        </w:rPr>
      </w:pPr>
      <w:r w:rsidRPr="0012037C">
        <w:rPr>
          <w:sz w:val="20"/>
          <w:szCs w:val="20"/>
        </w:rPr>
        <w:t>Произведено для:</w:t>
      </w:r>
    </w:p>
    <w:p w:rsidR="00EE35EB" w:rsidRPr="0012037C" w:rsidRDefault="00EE35EB" w:rsidP="00C71080">
      <w:pPr>
        <w:pStyle w:val="3"/>
        <w:spacing w:before="0" w:beforeAutospacing="0" w:after="0" w:afterAutospacing="0"/>
        <w:rPr>
          <w:sz w:val="20"/>
          <w:szCs w:val="20"/>
        </w:rPr>
      </w:pPr>
      <w:r w:rsidRPr="0012037C">
        <w:rPr>
          <w:sz w:val="20"/>
          <w:szCs w:val="20"/>
        </w:rPr>
        <w:t>MAXX-PHARM LTD.</w:t>
      </w:r>
    </w:p>
    <w:p w:rsidR="00EE35EB" w:rsidRPr="0012037C" w:rsidRDefault="00EE35EB" w:rsidP="00C71080">
      <w:pPr>
        <w:pStyle w:val="3"/>
        <w:spacing w:before="0" w:beforeAutospacing="0" w:after="0" w:afterAutospacing="0"/>
        <w:rPr>
          <w:sz w:val="20"/>
          <w:szCs w:val="20"/>
        </w:rPr>
      </w:pPr>
      <w:r w:rsidRPr="0012037C">
        <w:rPr>
          <w:sz w:val="20"/>
          <w:szCs w:val="20"/>
        </w:rPr>
        <w:t>Лондон, Великобритания</w:t>
      </w:r>
    </w:p>
    <w:p w:rsidR="0012037C" w:rsidRPr="0012037C" w:rsidRDefault="0012037C" w:rsidP="00C71080">
      <w:pPr>
        <w:pStyle w:val="3"/>
        <w:spacing w:before="0" w:beforeAutospacing="0" w:after="0" w:afterAutospacing="0"/>
        <w:rPr>
          <w:b w:val="0"/>
          <w:bCs w:val="0"/>
          <w:sz w:val="20"/>
          <w:szCs w:val="20"/>
        </w:rPr>
      </w:pPr>
    </w:p>
    <w:p w:rsidR="0012037C" w:rsidRPr="0012037C" w:rsidRDefault="0012037C">
      <w:pPr>
        <w:pStyle w:val="3"/>
        <w:spacing w:before="0" w:beforeAutospacing="0" w:after="0" w:afterAutospacing="0"/>
        <w:rPr>
          <w:b w:val="0"/>
          <w:bCs w:val="0"/>
          <w:sz w:val="20"/>
          <w:szCs w:val="20"/>
        </w:rPr>
      </w:pPr>
      <w:bookmarkStart w:id="0" w:name="_GoBack"/>
      <w:bookmarkEnd w:id="0"/>
    </w:p>
    <w:sectPr w:rsidR="0012037C" w:rsidRPr="0012037C" w:rsidSect="00761F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DBA" w:rsidRDefault="00441DBA" w:rsidP="00214E4D">
      <w:r>
        <w:separator/>
      </w:r>
    </w:p>
  </w:endnote>
  <w:endnote w:type="continuationSeparator" w:id="0">
    <w:p w:rsidR="00441DBA" w:rsidRDefault="00441DBA" w:rsidP="0021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E4D" w:rsidRDefault="00214E4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E4D" w:rsidRDefault="00214E4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E4D" w:rsidRDefault="00214E4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DBA" w:rsidRDefault="00441DBA" w:rsidP="00214E4D">
      <w:r>
        <w:separator/>
      </w:r>
    </w:p>
  </w:footnote>
  <w:footnote w:type="continuationSeparator" w:id="0">
    <w:p w:rsidR="00441DBA" w:rsidRDefault="00441DBA" w:rsidP="00214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E4D" w:rsidRDefault="00441DBA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0165751" o:spid="_x0000_s2051" type="#_x0000_t75" alt="" style="position:absolute;margin-left:0;margin-top:0;width:746.25pt;height:259.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E4D" w:rsidRDefault="00441DBA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0165752" o:spid="_x0000_s2050" type="#_x0000_t75" alt="" style="position:absolute;margin-left:0;margin-top:0;width:746.25pt;height:259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E4D" w:rsidRDefault="00441DBA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0165750" o:spid="_x0000_s2049" type="#_x0000_t75" alt="" style="position:absolute;margin-left:0;margin-top:0;width:746.25pt;height:259.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07E00"/>
    <w:multiLevelType w:val="hybridMultilevel"/>
    <w:tmpl w:val="2D740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B4858"/>
    <w:multiLevelType w:val="hybridMultilevel"/>
    <w:tmpl w:val="169CB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87"/>
    <w:rsid w:val="0012037C"/>
    <w:rsid w:val="0016385E"/>
    <w:rsid w:val="001B6AC2"/>
    <w:rsid w:val="00205767"/>
    <w:rsid w:val="00214E4D"/>
    <w:rsid w:val="0026641D"/>
    <w:rsid w:val="00274E3B"/>
    <w:rsid w:val="00277A05"/>
    <w:rsid w:val="00441DBA"/>
    <w:rsid w:val="00443E79"/>
    <w:rsid w:val="004719D1"/>
    <w:rsid w:val="00522387"/>
    <w:rsid w:val="00555D89"/>
    <w:rsid w:val="00643672"/>
    <w:rsid w:val="00674148"/>
    <w:rsid w:val="006967EA"/>
    <w:rsid w:val="006B0156"/>
    <w:rsid w:val="006B3D46"/>
    <w:rsid w:val="00761F5D"/>
    <w:rsid w:val="008A67CE"/>
    <w:rsid w:val="00947C91"/>
    <w:rsid w:val="00983366"/>
    <w:rsid w:val="00A5527C"/>
    <w:rsid w:val="00AB794B"/>
    <w:rsid w:val="00B139B1"/>
    <w:rsid w:val="00C05E8D"/>
    <w:rsid w:val="00C119F1"/>
    <w:rsid w:val="00C42FC1"/>
    <w:rsid w:val="00C71080"/>
    <w:rsid w:val="00D82920"/>
    <w:rsid w:val="00DB4389"/>
    <w:rsid w:val="00DC7C6B"/>
    <w:rsid w:val="00EA740D"/>
    <w:rsid w:val="00EE35EB"/>
    <w:rsid w:val="00EE7D6F"/>
    <w:rsid w:val="00FB4B37"/>
    <w:rsid w:val="00FB5CB2"/>
    <w:rsid w:val="00FC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1F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35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1F5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1F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1F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61F5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61F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61F5D"/>
    <w:rPr>
      <w:i/>
      <w:iCs/>
    </w:rPr>
  </w:style>
  <w:style w:type="character" w:styleId="a6">
    <w:name w:val="Strong"/>
    <w:basedOn w:val="a0"/>
    <w:uiPriority w:val="22"/>
    <w:qFormat/>
    <w:rsid w:val="00761F5D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EE35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214E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14E4D"/>
  </w:style>
  <w:style w:type="paragraph" w:styleId="a9">
    <w:name w:val="footer"/>
    <w:basedOn w:val="a"/>
    <w:link w:val="aa"/>
    <w:uiPriority w:val="99"/>
    <w:unhideWhenUsed/>
    <w:rsid w:val="00214E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14E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1F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35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1F5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1F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1F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61F5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61F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61F5D"/>
    <w:rPr>
      <w:i/>
      <w:iCs/>
    </w:rPr>
  </w:style>
  <w:style w:type="character" w:styleId="a6">
    <w:name w:val="Strong"/>
    <w:basedOn w:val="a0"/>
    <w:uiPriority w:val="22"/>
    <w:qFormat/>
    <w:rsid w:val="00761F5D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EE35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214E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14E4D"/>
  </w:style>
  <w:style w:type="paragraph" w:styleId="a9">
    <w:name w:val="footer"/>
    <w:basedOn w:val="a"/>
    <w:link w:val="aa"/>
    <w:uiPriority w:val="99"/>
    <w:unhideWhenUsed/>
    <w:rsid w:val="00214E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14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70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3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0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27</cp:revision>
  <dcterms:created xsi:type="dcterms:W3CDTF">2019-08-19T07:43:00Z</dcterms:created>
  <dcterms:modified xsi:type="dcterms:W3CDTF">2024-01-22T03:19:00Z</dcterms:modified>
</cp:coreProperties>
</file>