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53158" w14:textId="2A87ADD7" w:rsidR="008D1408" w:rsidRPr="0045157C" w:rsidRDefault="008D1408" w:rsidP="00917039">
      <w:pPr>
        <w:pStyle w:val="20"/>
        <w:shd w:val="clear" w:color="auto" w:fill="auto"/>
        <w:spacing w:after="0"/>
        <w:rPr>
          <w:rFonts w:ascii="Times New Roman" w:hAnsi="Times New Roman" w:cs="Times New Roman"/>
          <w:sz w:val="18"/>
          <w:szCs w:val="18"/>
        </w:rPr>
      </w:pPr>
      <w:r w:rsidRPr="0045157C">
        <w:rPr>
          <w:rFonts w:ascii="Times New Roman" w:hAnsi="Times New Roman" w:cs="Times New Roman"/>
          <w:sz w:val="18"/>
          <w:szCs w:val="18"/>
        </w:rPr>
        <w:t>ФЕРРОЛАЙФ</w:t>
      </w:r>
      <w:r w:rsidR="00C24BDD" w:rsidRPr="0045157C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635E88E" w14:textId="23638BCB" w:rsidR="00917039" w:rsidRPr="0045157C" w:rsidRDefault="008D1408" w:rsidP="00917039">
      <w:pPr>
        <w:pStyle w:val="20"/>
        <w:shd w:val="clear" w:color="auto" w:fill="auto"/>
        <w:spacing w:after="0"/>
        <w:rPr>
          <w:rFonts w:ascii="Times New Roman" w:hAnsi="Times New Roman" w:cs="Times New Roman"/>
          <w:sz w:val="18"/>
          <w:szCs w:val="18"/>
        </w:rPr>
      </w:pPr>
      <w:r w:rsidRPr="0045157C">
        <w:rPr>
          <w:rFonts w:ascii="Times New Roman" w:hAnsi="Times New Roman" w:cs="Times New Roman"/>
          <w:sz w:val="18"/>
          <w:szCs w:val="18"/>
        </w:rPr>
        <w:t>Инструкция</w:t>
      </w:r>
    </w:p>
    <w:p w14:paraId="5D273A72" w14:textId="6CCC36AD" w:rsidR="00E04CCC" w:rsidRPr="0045157C" w:rsidRDefault="00917039" w:rsidP="00917039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5157C">
        <w:rPr>
          <w:rFonts w:ascii="Times New Roman" w:hAnsi="Times New Roman" w:cs="Times New Roman"/>
          <w:b/>
          <w:sz w:val="18"/>
          <w:szCs w:val="18"/>
        </w:rPr>
        <w:t>по м</w:t>
      </w:r>
      <w:r w:rsidR="00B156FF">
        <w:rPr>
          <w:rFonts w:ascii="Times New Roman" w:hAnsi="Times New Roman" w:cs="Times New Roman"/>
          <w:b/>
          <w:sz w:val="18"/>
          <w:szCs w:val="18"/>
        </w:rPr>
        <w:t>едицинскому применению  лекарственного средства</w:t>
      </w:r>
    </w:p>
    <w:p w14:paraId="45797303" w14:textId="3CF6AE7B" w:rsidR="00917039" w:rsidRPr="0045157C" w:rsidRDefault="008D1408" w:rsidP="00917039">
      <w:pPr>
        <w:jc w:val="center"/>
        <w:rPr>
          <w:rFonts w:ascii="Times New Roman" w:hAnsi="Times New Roman" w:cs="Times New Roman"/>
          <w:sz w:val="18"/>
          <w:szCs w:val="18"/>
        </w:rPr>
      </w:pPr>
      <w:r w:rsidRPr="0045157C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F3E0398" w14:textId="6991FABB" w:rsidR="00917039" w:rsidRPr="0045157C" w:rsidRDefault="00917039" w:rsidP="00917039">
      <w:pPr>
        <w:pStyle w:val="30"/>
        <w:shd w:val="clear" w:color="auto" w:fill="auto"/>
        <w:spacing w:before="0" w:after="0" w:line="240" w:lineRule="auto"/>
        <w:jc w:val="both"/>
        <w:rPr>
          <w:sz w:val="18"/>
          <w:szCs w:val="18"/>
        </w:rPr>
      </w:pPr>
      <w:r w:rsidRPr="0045157C">
        <w:rPr>
          <w:sz w:val="18"/>
          <w:szCs w:val="18"/>
        </w:rPr>
        <w:t xml:space="preserve">Торговое название препарата: </w:t>
      </w:r>
      <w:proofErr w:type="spellStart"/>
      <w:r w:rsidR="008D1408" w:rsidRPr="0045157C">
        <w:rPr>
          <w:b w:val="0"/>
          <w:sz w:val="18"/>
          <w:szCs w:val="18"/>
        </w:rPr>
        <w:t>Ферролайф</w:t>
      </w:r>
      <w:proofErr w:type="spellEnd"/>
      <w:r w:rsidR="008D1408" w:rsidRPr="0045157C">
        <w:rPr>
          <w:b w:val="0"/>
          <w:sz w:val="18"/>
          <w:szCs w:val="18"/>
        </w:rPr>
        <w:t>.</w:t>
      </w:r>
    </w:p>
    <w:p w14:paraId="0EE4BC94" w14:textId="453AA3C5" w:rsidR="00917039" w:rsidRPr="0045157C" w:rsidRDefault="00917039" w:rsidP="00917039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8"/>
          <w:szCs w:val="18"/>
        </w:rPr>
      </w:pPr>
      <w:r w:rsidRPr="0045157C">
        <w:rPr>
          <w:sz w:val="18"/>
          <w:szCs w:val="18"/>
        </w:rPr>
        <w:t xml:space="preserve">Международное непатентованное название: </w:t>
      </w:r>
      <w:r w:rsidR="00B156FF">
        <w:rPr>
          <w:b w:val="0"/>
          <w:sz w:val="18"/>
          <w:szCs w:val="18"/>
        </w:rPr>
        <w:t>Ж</w:t>
      </w:r>
      <w:r w:rsidR="008D1408" w:rsidRPr="0045157C">
        <w:rPr>
          <w:b w:val="0"/>
          <w:sz w:val="18"/>
          <w:szCs w:val="18"/>
        </w:rPr>
        <w:t xml:space="preserve">елеза </w:t>
      </w:r>
      <w:proofErr w:type="spellStart"/>
      <w:r w:rsidR="008D1408" w:rsidRPr="0045157C">
        <w:rPr>
          <w:b w:val="0"/>
          <w:sz w:val="18"/>
          <w:szCs w:val="18"/>
        </w:rPr>
        <w:t>полимальтозный</w:t>
      </w:r>
      <w:proofErr w:type="spellEnd"/>
      <w:r w:rsidR="008D1408" w:rsidRPr="0045157C">
        <w:rPr>
          <w:b w:val="0"/>
          <w:sz w:val="18"/>
          <w:szCs w:val="18"/>
        </w:rPr>
        <w:t xml:space="preserve"> комплекс</w:t>
      </w:r>
      <w:r w:rsidR="00602649" w:rsidRPr="0045157C">
        <w:rPr>
          <w:b w:val="0"/>
          <w:sz w:val="18"/>
          <w:szCs w:val="18"/>
        </w:rPr>
        <w:t xml:space="preserve">, фолиевая кислота, </w:t>
      </w:r>
      <w:proofErr w:type="spellStart"/>
      <w:r w:rsidR="00602649" w:rsidRPr="0045157C">
        <w:rPr>
          <w:b w:val="0"/>
          <w:sz w:val="18"/>
          <w:szCs w:val="18"/>
        </w:rPr>
        <w:t>цианокобаламин</w:t>
      </w:r>
      <w:proofErr w:type="spellEnd"/>
      <w:r w:rsidR="00602649" w:rsidRPr="0045157C">
        <w:rPr>
          <w:b w:val="0"/>
          <w:sz w:val="18"/>
          <w:szCs w:val="18"/>
        </w:rPr>
        <w:t>, цинка сульфат</w:t>
      </w:r>
      <w:r w:rsidR="008D1408" w:rsidRPr="0045157C">
        <w:rPr>
          <w:b w:val="0"/>
          <w:sz w:val="18"/>
          <w:szCs w:val="18"/>
        </w:rPr>
        <w:t>.</w:t>
      </w:r>
      <w:r w:rsidRPr="0045157C">
        <w:rPr>
          <w:b w:val="0"/>
          <w:sz w:val="18"/>
          <w:szCs w:val="18"/>
        </w:rPr>
        <w:t xml:space="preserve"> </w:t>
      </w:r>
    </w:p>
    <w:p w14:paraId="7BCFEF8F" w14:textId="04D3D2C7" w:rsidR="00917039" w:rsidRPr="0045157C" w:rsidRDefault="00917039" w:rsidP="00917039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8"/>
          <w:szCs w:val="18"/>
        </w:rPr>
      </w:pPr>
      <w:r w:rsidRPr="0045157C">
        <w:rPr>
          <w:sz w:val="18"/>
          <w:szCs w:val="18"/>
        </w:rPr>
        <w:t xml:space="preserve">Лекарственная форма: </w:t>
      </w:r>
      <w:r w:rsidR="00B156FF">
        <w:rPr>
          <w:b w:val="0"/>
          <w:sz w:val="18"/>
          <w:szCs w:val="18"/>
        </w:rPr>
        <w:t>К</w:t>
      </w:r>
      <w:r w:rsidR="008D1408" w:rsidRPr="0045157C">
        <w:rPr>
          <w:b w:val="0"/>
          <w:sz w:val="18"/>
          <w:szCs w:val="18"/>
        </w:rPr>
        <w:t xml:space="preserve">апсулы </w:t>
      </w:r>
      <w:r w:rsidR="00EB0F0C" w:rsidRPr="0045157C">
        <w:rPr>
          <w:b w:val="0"/>
          <w:sz w:val="18"/>
          <w:szCs w:val="18"/>
        </w:rPr>
        <w:t xml:space="preserve"> для приема внутрь</w:t>
      </w:r>
      <w:r w:rsidR="008D1408" w:rsidRPr="0045157C">
        <w:rPr>
          <w:b w:val="0"/>
          <w:sz w:val="18"/>
          <w:szCs w:val="18"/>
        </w:rPr>
        <w:t>.</w:t>
      </w:r>
    </w:p>
    <w:p w14:paraId="6A1E4A87" w14:textId="75B3AD78" w:rsidR="00917039" w:rsidRPr="0045157C" w:rsidRDefault="00917039" w:rsidP="008D1408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8"/>
          <w:szCs w:val="18"/>
        </w:rPr>
      </w:pPr>
      <w:bookmarkStart w:id="0" w:name="bookmark0"/>
      <w:r w:rsidRPr="0045157C">
        <w:rPr>
          <w:sz w:val="18"/>
          <w:szCs w:val="18"/>
        </w:rPr>
        <w:t>Состав</w:t>
      </w:r>
      <w:r w:rsidRPr="0045157C">
        <w:rPr>
          <w:b w:val="0"/>
          <w:i/>
          <w:sz w:val="18"/>
          <w:szCs w:val="18"/>
        </w:rPr>
        <w:t>:</w:t>
      </w:r>
      <w:bookmarkEnd w:id="0"/>
      <w:r w:rsidR="008D1408" w:rsidRPr="0045157C">
        <w:rPr>
          <w:b w:val="0"/>
          <w:i/>
          <w:sz w:val="18"/>
          <w:szCs w:val="18"/>
        </w:rPr>
        <w:t xml:space="preserve">  </w:t>
      </w:r>
      <w:r w:rsidRPr="0045157C">
        <w:rPr>
          <w:b w:val="0"/>
          <w:i/>
          <w:sz w:val="18"/>
          <w:szCs w:val="18"/>
        </w:rPr>
        <w:t>Каждая капсула содержит:</w:t>
      </w:r>
    </w:p>
    <w:p w14:paraId="2F6F3CE0" w14:textId="77777777" w:rsidR="008D1408" w:rsidRPr="0045157C" w:rsidRDefault="008D1408" w:rsidP="00917039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r w:rsidRPr="0045157C">
        <w:rPr>
          <w:b w:val="0"/>
          <w:sz w:val="18"/>
          <w:szCs w:val="18"/>
        </w:rPr>
        <w:t>Гидроксид железа</w:t>
      </w:r>
      <w:r w:rsidR="00EB0F0C" w:rsidRPr="0045157C">
        <w:rPr>
          <w:b w:val="0"/>
          <w:sz w:val="18"/>
          <w:szCs w:val="18"/>
        </w:rPr>
        <w:t xml:space="preserve"> (III) </w:t>
      </w:r>
      <w:proofErr w:type="spellStart"/>
      <w:r w:rsidR="00917039" w:rsidRPr="0045157C">
        <w:rPr>
          <w:b w:val="0"/>
          <w:sz w:val="18"/>
          <w:szCs w:val="18"/>
        </w:rPr>
        <w:t>полимальтозный</w:t>
      </w:r>
      <w:proofErr w:type="spellEnd"/>
      <w:r w:rsidR="00917039" w:rsidRPr="0045157C">
        <w:rPr>
          <w:b w:val="0"/>
          <w:sz w:val="18"/>
          <w:szCs w:val="18"/>
        </w:rPr>
        <w:t xml:space="preserve"> комплекс</w:t>
      </w:r>
      <w:r w:rsidRPr="0045157C">
        <w:rPr>
          <w:b w:val="0"/>
          <w:sz w:val="18"/>
          <w:szCs w:val="18"/>
        </w:rPr>
        <w:t xml:space="preserve">   </w:t>
      </w:r>
    </w:p>
    <w:p w14:paraId="4604D1B6" w14:textId="49389AF1" w:rsidR="00917039" w:rsidRPr="0045157C" w:rsidRDefault="00566E7F" w:rsidP="00917039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r w:rsidRPr="0045157C">
        <w:rPr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1" locked="0" layoutInCell="1" allowOverlap="1" wp14:anchorId="62977503" wp14:editId="7B2BF1C5">
            <wp:simplePos x="0" y="0"/>
            <wp:positionH relativeFrom="page">
              <wp:posOffset>1045222</wp:posOffset>
            </wp:positionH>
            <wp:positionV relativeFrom="paragraph">
              <wp:posOffset>99225</wp:posOffset>
            </wp:positionV>
            <wp:extent cx="5720940" cy="357566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726382" cy="3579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B0F0C" w:rsidRPr="0045157C">
        <w:rPr>
          <w:b w:val="0"/>
          <w:sz w:val="18"/>
          <w:szCs w:val="18"/>
        </w:rPr>
        <w:t>экв</w:t>
      </w:r>
      <w:proofErr w:type="spellEnd"/>
      <w:r w:rsidR="00EB0F0C" w:rsidRPr="0045157C">
        <w:rPr>
          <w:b w:val="0"/>
          <w:sz w:val="18"/>
          <w:szCs w:val="18"/>
        </w:rPr>
        <w:t xml:space="preserve">, </w:t>
      </w:r>
      <w:r w:rsidR="00917039" w:rsidRPr="0045157C">
        <w:rPr>
          <w:b w:val="0"/>
          <w:sz w:val="18"/>
          <w:szCs w:val="18"/>
        </w:rPr>
        <w:t>элементарн</w:t>
      </w:r>
      <w:r w:rsidR="00EB0F0C" w:rsidRPr="0045157C">
        <w:rPr>
          <w:b w:val="0"/>
          <w:sz w:val="18"/>
          <w:szCs w:val="18"/>
        </w:rPr>
        <w:t>ому</w:t>
      </w:r>
      <w:r w:rsidR="00917039" w:rsidRPr="0045157C">
        <w:rPr>
          <w:b w:val="0"/>
          <w:sz w:val="18"/>
          <w:szCs w:val="18"/>
        </w:rPr>
        <w:t xml:space="preserve"> желез</w:t>
      </w:r>
      <w:r w:rsidR="00EB0F0C" w:rsidRPr="0045157C">
        <w:rPr>
          <w:b w:val="0"/>
          <w:sz w:val="18"/>
          <w:szCs w:val="18"/>
        </w:rPr>
        <w:t>у</w:t>
      </w:r>
      <w:r w:rsidR="008D1408" w:rsidRPr="0045157C">
        <w:rPr>
          <w:b w:val="0"/>
          <w:sz w:val="18"/>
          <w:szCs w:val="18"/>
        </w:rPr>
        <w:t xml:space="preserve"> .......................</w:t>
      </w:r>
      <w:r w:rsidR="00D60C94" w:rsidRPr="0045157C">
        <w:rPr>
          <w:b w:val="0"/>
          <w:sz w:val="18"/>
          <w:szCs w:val="18"/>
        </w:rPr>
        <w:t>.</w:t>
      </w:r>
      <w:r w:rsidR="008D1408" w:rsidRPr="0045157C">
        <w:rPr>
          <w:b w:val="0"/>
          <w:sz w:val="18"/>
          <w:szCs w:val="18"/>
        </w:rPr>
        <w:t xml:space="preserve"> 120 мг;</w:t>
      </w:r>
    </w:p>
    <w:p w14:paraId="41EE0098" w14:textId="6FB7DBB8" w:rsidR="00917039" w:rsidRPr="0045157C" w:rsidRDefault="00EB0F0C" w:rsidP="00917039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r w:rsidRPr="0045157C">
        <w:rPr>
          <w:b w:val="0"/>
          <w:sz w:val="18"/>
          <w:szCs w:val="18"/>
        </w:rPr>
        <w:t>Фолиевой</w:t>
      </w:r>
      <w:r w:rsidR="00917039" w:rsidRPr="0045157C">
        <w:rPr>
          <w:b w:val="0"/>
          <w:sz w:val="18"/>
          <w:szCs w:val="18"/>
        </w:rPr>
        <w:t xml:space="preserve"> </w:t>
      </w:r>
      <w:r w:rsidRPr="0045157C">
        <w:rPr>
          <w:b w:val="0"/>
          <w:sz w:val="18"/>
          <w:szCs w:val="18"/>
        </w:rPr>
        <w:t>кислоты ...................................</w:t>
      </w:r>
      <w:r w:rsidR="00D60C94" w:rsidRPr="0045157C">
        <w:rPr>
          <w:b w:val="0"/>
          <w:sz w:val="18"/>
          <w:szCs w:val="18"/>
        </w:rPr>
        <w:t>..</w:t>
      </w:r>
      <w:r w:rsidR="008D1408" w:rsidRPr="0045157C">
        <w:rPr>
          <w:b w:val="0"/>
          <w:sz w:val="18"/>
          <w:szCs w:val="18"/>
        </w:rPr>
        <w:t>...1,5 мг;</w:t>
      </w:r>
    </w:p>
    <w:p w14:paraId="62999A03" w14:textId="7B7514B5" w:rsidR="00917039" w:rsidRPr="0045157C" w:rsidRDefault="00917039" w:rsidP="00917039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proofErr w:type="spellStart"/>
      <w:r w:rsidRPr="0045157C">
        <w:rPr>
          <w:b w:val="0"/>
          <w:sz w:val="18"/>
          <w:szCs w:val="18"/>
        </w:rPr>
        <w:t>Цианокобаламин</w:t>
      </w:r>
      <w:proofErr w:type="spellEnd"/>
      <w:r w:rsidRPr="0045157C">
        <w:rPr>
          <w:b w:val="0"/>
          <w:sz w:val="18"/>
          <w:szCs w:val="18"/>
        </w:rPr>
        <w:t xml:space="preserve"> BP (витамин B12)</w:t>
      </w:r>
      <w:r w:rsidR="008D1408" w:rsidRPr="0045157C">
        <w:rPr>
          <w:b w:val="0"/>
          <w:sz w:val="18"/>
          <w:szCs w:val="18"/>
        </w:rPr>
        <w:t>……...</w:t>
      </w:r>
      <w:r w:rsidR="00D60C94" w:rsidRPr="0045157C">
        <w:rPr>
          <w:b w:val="0"/>
          <w:sz w:val="18"/>
          <w:szCs w:val="18"/>
        </w:rPr>
        <w:t>.</w:t>
      </w:r>
      <w:r w:rsidRPr="0045157C">
        <w:rPr>
          <w:b w:val="0"/>
          <w:sz w:val="18"/>
          <w:szCs w:val="18"/>
        </w:rPr>
        <w:t xml:space="preserve"> 15 мкг</w:t>
      </w:r>
      <w:r w:rsidR="008D1408" w:rsidRPr="0045157C">
        <w:rPr>
          <w:b w:val="0"/>
          <w:sz w:val="18"/>
          <w:szCs w:val="18"/>
        </w:rPr>
        <w:t>;</w:t>
      </w:r>
    </w:p>
    <w:p w14:paraId="39B65A47" w14:textId="55A84F20" w:rsidR="00917039" w:rsidRPr="0045157C" w:rsidRDefault="00EB0F0C" w:rsidP="00917039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45157C">
        <w:rPr>
          <w:b w:val="0"/>
          <w:sz w:val="18"/>
          <w:szCs w:val="18"/>
        </w:rPr>
        <w:t>Цинк</w:t>
      </w:r>
      <w:r w:rsidR="008D1408" w:rsidRPr="0045157C">
        <w:rPr>
          <w:b w:val="0"/>
          <w:sz w:val="18"/>
          <w:szCs w:val="18"/>
        </w:rPr>
        <w:t>а</w:t>
      </w:r>
      <w:r w:rsidRPr="0045157C">
        <w:rPr>
          <w:b w:val="0"/>
          <w:sz w:val="18"/>
          <w:szCs w:val="18"/>
        </w:rPr>
        <w:t xml:space="preserve"> сульфат м</w:t>
      </w:r>
      <w:r w:rsidR="00917039" w:rsidRPr="0045157C">
        <w:rPr>
          <w:b w:val="0"/>
          <w:sz w:val="18"/>
          <w:szCs w:val="18"/>
        </w:rPr>
        <w:t>оногидрат BP ...</w:t>
      </w:r>
      <w:r w:rsidR="008D1408" w:rsidRPr="0045157C">
        <w:rPr>
          <w:b w:val="0"/>
          <w:sz w:val="18"/>
          <w:szCs w:val="18"/>
        </w:rPr>
        <w:t>..............</w:t>
      </w:r>
      <w:r w:rsidR="00D60C94" w:rsidRPr="0045157C">
        <w:rPr>
          <w:b w:val="0"/>
          <w:sz w:val="18"/>
          <w:szCs w:val="18"/>
        </w:rPr>
        <w:t>.</w:t>
      </w:r>
      <w:r w:rsidR="00917039" w:rsidRPr="0045157C">
        <w:rPr>
          <w:b w:val="0"/>
          <w:sz w:val="18"/>
          <w:szCs w:val="18"/>
        </w:rPr>
        <w:t xml:space="preserve"> 61,8 мг.</w:t>
      </w:r>
    </w:p>
    <w:p w14:paraId="23B232EE" w14:textId="77777777" w:rsidR="00917039" w:rsidRPr="0045157C" w:rsidRDefault="00917039" w:rsidP="00917039">
      <w:pPr>
        <w:pStyle w:val="10"/>
        <w:keepNext/>
        <w:keepLines/>
        <w:shd w:val="clear" w:color="auto" w:fill="auto"/>
        <w:spacing w:before="0" w:line="240" w:lineRule="auto"/>
        <w:rPr>
          <w:rStyle w:val="20pt"/>
          <w:b/>
          <w:i w:val="0"/>
          <w:sz w:val="18"/>
          <w:szCs w:val="18"/>
        </w:rPr>
      </w:pPr>
      <w:r w:rsidRPr="0045157C">
        <w:rPr>
          <w:b w:val="0"/>
          <w:i/>
          <w:sz w:val="18"/>
          <w:szCs w:val="18"/>
        </w:rPr>
        <w:t xml:space="preserve">Вспомогательные вещества: </w:t>
      </w:r>
      <w:proofErr w:type="spellStart"/>
      <w:r w:rsidR="00FF3AD6" w:rsidRPr="0045157C">
        <w:rPr>
          <w:b w:val="0"/>
          <w:i/>
          <w:sz w:val="18"/>
          <w:szCs w:val="18"/>
        </w:rPr>
        <w:t>в.д.к</w:t>
      </w:r>
      <w:proofErr w:type="spellEnd"/>
      <w:r w:rsidR="00FF3AD6" w:rsidRPr="0045157C">
        <w:rPr>
          <w:b w:val="0"/>
          <w:i/>
          <w:sz w:val="18"/>
          <w:szCs w:val="18"/>
        </w:rPr>
        <w:t>.</w:t>
      </w:r>
    </w:p>
    <w:p w14:paraId="11DEC043" w14:textId="265C94E7" w:rsidR="00566E7F" w:rsidRPr="0045157C" w:rsidRDefault="00566E7F" w:rsidP="00566E7F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  <w:shd w:val="clear" w:color="auto" w:fill="FFFFFF"/>
        </w:rPr>
      </w:pPr>
      <w:r w:rsidRPr="0045157C">
        <w:rPr>
          <w:rFonts w:ascii="Times New Roman" w:hAnsi="Times New Roman" w:cs="Times New Roman"/>
          <w:sz w:val="18"/>
          <w:szCs w:val="18"/>
        </w:rPr>
        <w:t xml:space="preserve">Код </w:t>
      </w:r>
      <w:r w:rsidRPr="0045157C">
        <w:rPr>
          <w:rFonts w:ascii="Times New Roman" w:hAnsi="Times New Roman" w:cs="Times New Roman"/>
          <w:sz w:val="18"/>
          <w:szCs w:val="18"/>
          <w:lang w:val="en-US" w:bidi="en-US"/>
        </w:rPr>
        <w:t>ATX</w:t>
      </w:r>
      <w:r w:rsidRPr="0045157C">
        <w:rPr>
          <w:rFonts w:ascii="Times New Roman" w:hAnsi="Times New Roman" w:cs="Times New Roman"/>
          <w:sz w:val="18"/>
          <w:szCs w:val="18"/>
          <w:lang w:bidi="en-US"/>
        </w:rPr>
        <w:t>:</w:t>
      </w:r>
      <w:r w:rsidRPr="0045157C">
        <w:rPr>
          <w:rStyle w:val="21"/>
          <w:rFonts w:eastAsia="Calibri"/>
          <w:sz w:val="18"/>
          <w:szCs w:val="18"/>
        </w:rPr>
        <w:t xml:space="preserve"> </w:t>
      </w:r>
      <w:r w:rsidRPr="0045157C">
        <w:rPr>
          <w:rFonts w:ascii="Times New Roman" w:hAnsi="Times New Roman" w:cs="Times New Roman"/>
          <w:b w:val="0"/>
          <w:sz w:val="18"/>
          <w:szCs w:val="18"/>
          <w:shd w:val="clear" w:color="auto" w:fill="FFFFFF"/>
        </w:rPr>
        <w:t>B03AD04</w:t>
      </w:r>
      <w:r w:rsidR="008D1408" w:rsidRPr="0045157C">
        <w:rPr>
          <w:rFonts w:ascii="Times New Roman" w:hAnsi="Times New Roman" w:cs="Times New Roman"/>
          <w:b w:val="0"/>
          <w:sz w:val="18"/>
          <w:szCs w:val="18"/>
          <w:shd w:val="clear" w:color="auto" w:fill="FFFFFF"/>
        </w:rPr>
        <w:t>.</w:t>
      </w:r>
    </w:p>
    <w:p w14:paraId="298282B0" w14:textId="511B7B29" w:rsidR="00917039" w:rsidRPr="0045157C" w:rsidRDefault="00917039" w:rsidP="00917039">
      <w:pPr>
        <w:pStyle w:val="20"/>
        <w:shd w:val="clear" w:color="auto" w:fill="auto"/>
        <w:spacing w:after="0" w:line="240" w:lineRule="auto"/>
        <w:ind w:right="340"/>
        <w:jc w:val="both"/>
        <w:rPr>
          <w:rStyle w:val="22"/>
          <w:rFonts w:eastAsia="Calibri"/>
          <w:b/>
          <w:sz w:val="18"/>
          <w:szCs w:val="18"/>
        </w:rPr>
      </w:pPr>
      <w:proofErr w:type="spellStart"/>
      <w:proofErr w:type="gramStart"/>
      <w:r w:rsidRPr="0045157C">
        <w:rPr>
          <w:rStyle w:val="22"/>
          <w:rFonts w:eastAsia="Calibri"/>
          <w:b/>
          <w:sz w:val="18"/>
          <w:szCs w:val="18"/>
        </w:rPr>
        <w:t>Фармако</w:t>
      </w:r>
      <w:proofErr w:type="spellEnd"/>
      <w:r w:rsidR="00D60C94" w:rsidRPr="0045157C">
        <w:rPr>
          <w:rStyle w:val="22"/>
          <w:rFonts w:eastAsia="Calibri"/>
          <w:b/>
          <w:sz w:val="18"/>
          <w:szCs w:val="18"/>
        </w:rPr>
        <w:t>-</w:t>
      </w:r>
      <w:r w:rsidRPr="0045157C">
        <w:rPr>
          <w:rStyle w:val="22"/>
          <w:rFonts w:eastAsia="Calibri"/>
          <w:b/>
          <w:sz w:val="18"/>
          <w:szCs w:val="18"/>
        </w:rPr>
        <w:t>терапевтическая</w:t>
      </w:r>
      <w:proofErr w:type="gramEnd"/>
      <w:r w:rsidRPr="0045157C">
        <w:rPr>
          <w:rStyle w:val="22"/>
          <w:rFonts w:eastAsia="Calibri"/>
          <w:b/>
          <w:sz w:val="18"/>
          <w:szCs w:val="18"/>
        </w:rPr>
        <w:t xml:space="preserve"> группа: </w:t>
      </w:r>
      <w:r w:rsidR="000B7CCD" w:rsidRPr="0045157C">
        <w:rPr>
          <w:rStyle w:val="22"/>
          <w:rFonts w:eastAsia="Calibri"/>
          <w:sz w:val="18"/>
          <w:szCs w:val="18"/>
        </w:rPr>
        <w:t>Антианемические препараты</w:t>
      </w:r>
      <w:r w:rsidR="008D1408" w:rsidRPr="0045157C">
        <w:rPr>
          <w:rStyle w:val="22"/>
          <w:rFonts w:eastAsia="Calibri"/>
          <w:sz w:val="18"/>
          <w:szCs w:val="18"/>
        </w:rPr>
        <w:t>.</w:t>
      </w:r>
      <w:r w:rsidR="00EF6B4B" w:rsidRPr="0045157C">
        <w:rPr>
          <w:rFonts w:ascii="Times New Roman" w:hAnsi="Times New Roman" w:cs="Times New Roman"/>
          <w:sz w:val="18"/>
          <w:szCs w:val="18"/>
        </w:rPr>
        <w:t xml:space="preserve"> </w:t>
      </w:r>
      <w:r w:rsidR="00EF6B4B" w:rsidRPr="0045157C">
        <w:rPr>
          <w:rStyle w:val="22"/>
          <w:rFonts w:eastAsia="Calibri"/>
          <w:sz w:val="18"/>
          <w:szCs w:val="18"/>
        </w:rPr>
        <w:t xml:space="preserve">Стимуляторы </w:t>
      </w:r>
      <w:proofErr w:type="spellStart"/>
      <w:r w:rsidR="00EF6B4B" w:rsidRPr="0045157C">
        <w:rPr>
          <w:rStyle w:val="22"/>
          <w:rFonts w:eastAsia="Calibri"/>
          <w:sz w:val="18"/>
          <w:szCs w:val="18"/>
        </w:rPr>
        <w:t>гемопоэза</w:t>
      </w:r>
      <w:proofErr w:type="spellEnd"/>
      <w:r w:rsidR="00EF6B4B" w:rsidRPr="0045157C">
        <w:rPr>
          <w:rStyle w:val="22"/>
          <w:rFonts w:eastAsia="Calibri"/>
          <w:sz w:val="18"/>
          <w:szCs w:val="18"/>
        </w:rPr>
        <w:t xml:space="preserve">. Препараты железа. Препараты трехвалентного железа для </w:t>
      </w:r>
      <w:r w:rsidR="00D60C94" w:rsidRPr="0045157C">
        <w:rPr>
          <w:rStyle w:val="22"/>
          <w:rFonts w:eastAsia="Calibri"/>
          <w:sz w:val="18"/>
          <w:szCs w:val="18"/>
        </w:rPr>
        <w:t xml:space="preserve"> приема внутрь</w:t>
      </w:r>
      <w:r w:rsidR="00EF6B4B" w:rsidRPr="0045157C">
        <w:rPr>
          <w:rStyle w:val="22"/>
          <w:rFonts w:eastAsia="Calibri"/>
          <w:sz w:val="18"/>
          <w:szCs w:val="18"/>
        </w:rPr>
        <w:t>.</w:t>
      </w:r>
    </w:p>
    <w:p w14:paraId="37FC85DE" w14:textId="2650B740" w:rsidR="00982F6A" w:rsidRPr="0045157C" w:rsidRDefault="008D1408" w:rsidP="00982F6A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" w:name="bookmark1"/>
      <w:r w:rsidRPr="0045157C">
        <w:rPr>
          <w:rFonts w:ascii="Times New Roman" w:hAnsi="Times New Roman" w:cs="Times New Roman"/>
          <w:sz w:val="18"/>
          <w:szCs w:val="18"/>
        </w:rPr>
        <w:t>Фармакологические свойства</w:t>
      </w:r>
      <w:r w:rsidR="00D60C94" w:rsidRPr="0045157C">
        <w:rPr>
          <w:rFonts w:ascii="Times New Roman" w:hAnsi="Times New Roman" w:cs="Times New Roman"/>
          <w:sz w:val="18"/>
          <w:szCs w:val="18"/>
        </w:rPr>
        <w:t>:</w:t>
      </w:r>
    </w:p>
    <w:p w14:paraId="43C64EC8" w14:textId="247409B3" w:rsidR="008D1408" w:rsidRPr="0045157C" w:rsidRDefault="008D1408" w:rsidP="00982F6A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i/>
          <w:sz w:val="18"/>
          <w:szCs w:val="18"/>
        </w:rPr>
      </w:pPr>
      <w:proofErr w:type="spellStart"/>
      <w:r w:rsidRPr="0045157C">
        <w:rPr>
          <w:rFonts w:ascii="Times New Roman" w:hAnsi="Times New Roman" w:cs="Times New Roman"/>
          <w:b w:val="0"/>
          <w:i/>
          <w:sz w:val="18"/>
          <w:szCs w:val="18"/>
        </w:rPr>
        <w:t>Фармакодинамика</w:t>
      </w:r>
      <w:proofErr w:type="spellEnd"/>
      <w:r w:rsidRPr="0045157C">
        <w:rPr>
          <w:rFonts w:ascii="Times New Roman" w:hAnsi="Times New Roman" w:cs="Times New Roman"/>
          <w:b w:val="0"/>
          <w:i/>
          <w:sz w:val="18"/>
          <w:szCs w:val="18"/>
        </w:rPr>
        <w:t>:</w:t>
      </w:r>
    </w:p>
    <w:p w14:paraId="6DA855DC" w14:textId="682F67D8" w:rsidR="00982F6A" w:rsidRPr="0045157C" w:rsidRDefault="005F2E3F" w:rsidP="00982F6A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proofErr w:type="spellStart"/>
      <w:r w:rsidRPr="0045157C">
        <w:rPr>
          <w:rFonts w:ascii="Times New Roman" w:hAnsi="Times New Roman" w:cs="Times New Roman"/>
          <w:b w:val="0"/>
          <w:i/>
          <w:sz w:val="18"/>
          <w:szCs w:val="18"/>
        </w:rPr>
        <w:t>Полимальтозный</w:t>
      </w:r>
      <w:proofErr w:type="spellEnd"/>
      <w:r w:rsidRPr="0045157C">
        <w:rPr>
          <w:rFonts w:ascii="Times New Roman" w:hAnsi="Times New Roman" w:cs="Times New Roman"/>
          <w:b w:val="0"/>
          <w:i/>
          <w:sz w:val="18"/>
          <w:szCs w:val="18"/>
        </w:rPr>
        <w:t xml:space="preserve"> комплекс железа: </w:t>
      </w:r>
      <w:proofErr w:type="spellStart"/>
      <w:r w:rsidRPr="0045157C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="008D1408" w:rsidRPr="0045157C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 xml:space="preserve"> содержит комплекс </w:t>
      </w:r>
      <w:proofErr w:type="spellStart"/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>полимальтозы</w:t>
      </w:r>
      <w:proofErr w:type="spellEnd"/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 xml:space="preserve"> железа, который является </w:t>
      </w:r>
      <w:proofErr w:type="spellStart"/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>неионным</w:t>
      </w:r>
      <w:proofErr w:type="spellEnd"/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 xml:space="preserve"> источником железа. Благодаря быстрому всасыванию, высокому уровню использования железа, эффективному производству гемоглобина с помо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щью МПК </w:t>
      </w:r>
      <w:proofErr w:type="spellStart"/>
      <w:r w:rsidRPr="0045157C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 xml:space="preserve"> становится идеальным препаратом для лечения железодефицитных анемий. </w:t>
      </w:r>
      <w:proofErr w:type="spellStart"/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>Биодоступность</w:t>
      </w:r>
      <w:proofErr w:type="spellEnd"/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proofErr w:type="spellStart"/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>полимальтозы</w:t>
      </w:r>
      <w:proofErr w:type="spellEnd"/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 xml:space="preserve"> железа эквивалентна соли двухвалентного железа. Это приводит к быстрому использованию железа, вводимого в синтезе гемогл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>обина, и пополнению депо железа</w:t>
      </w:r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 xml:space="preserve">. Более медленное всасывание увеличивает профиль безопасности МПК. 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>После 3 месяцев лечения как МПК, так и соли двухвалентного железа дают одинаковые результаты.</w:t>
      </w:r>
    </w:p>
    <w:p w14:paraId="6DF2CC4F" w14:textId="6460948A" w:rsidR="00982F6A" w:rsidRPr="0045157C" w:rsidRDefault="005F2E3F" w:rsidP="00982F6A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proofErr w:type="spellStart"/>
      <w:r w:rsidRPr="0045157C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 xml:space="preserve"> используется для коррекции железодефицитной анемии и пищевой анемии, которые возникают особенно во время беременности и кормления грудью. Будучи </w:t>
      </w:r>
      <w:proofErr w:type="spellStart"/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>неионным</w:t>
      </w:r>
      <w:proofErr w:type="spellEnd"/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 xml:space="preserve"> железом, </w:t>
      </w:r>
      <w:proofErr w:type="spellStart"/>
      <w:r w:rsidRPr="0045157C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 xml:space="preserve"> не выделяет свободных радикалов железа, в отличие от других солей железа. Это может предотвратить отравление из-за непреднамеренной передозировки. Нет данных о пищевых продуктах или лекарствах, которые взаимодействуют или препятствуют абсорбции железа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>, поэтому препарат</w:t>
      </w:r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proofErr w:type="spellStart"/>
      <w:r w:rsidRPr="0045157C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="00F149DC" w:rsidRPr="0045157C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982F6A" w:rsidRPr="0045157C">
        <w:rPr>
          <w:rFonts w:ascii="Times New Roman" w:hAnsi="Times New Roman" w:cs="Times New Roman"/>
          <w:b w:val="0"/>
          <w:sz w:val="18"/>
          <w:szCs w:val="18"/>
        </w:rPr>
        <w:t>можно принимать до или после еды.</w:t>
      </w:r>
    </w:p>
    <w:p w14:paraId="1694E86A" w14:textId="77777777" w:rsidR="00E86760" w:rsidRPr="0045157C" w:rsidRDefault="00E86760" w:rsidP="00982F6A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i/>
          <w:sz w:val="18"/>
          <w:szCs w:val="18"/>
        </w:rPr>
        <w:t>Фолиевая кислота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 входит в группу витаминов B, необходимых для синтеза ДНК. Дефицит фолиевой кислоты - важная причина анемии. Потребность в фолиевой кислоте повышается во время беременности. Фолиевая кислота очень важна для профилактики многих хронических заболеваний и дефектов нервной трубки у новорожденных.</w:t>
      </w:r>
    </w:p>
    <w:p w14:paraId="69A4EBC5" w14:textId="1D52ED6A" w:rsidR="00E86760" w:rsidRPr="0045157C" w:rsidRDefault="00E86760" w:rsidP="00982F6A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i/>
          <w:sz w:val="18"/>
          <w:szCs w:val="18"/>
        </w:rPr>
        <w:t>Цинк</w:t>
      </w:r>
      <w:r w:rsidR="00D60C94" w:rsidRPr="0045157C">
        <w:rPr>
          <w:rFonts w:ascii="Times New Roman" w:hAnsi="Times New Roman" w:cs="Times New Roman"/>
          <w:b w:val="0"/>
          <w:i/>
          <w:sz w:val="18"/>
          <w:szCs w:val="18"/>
        </w:rPr>
        <w:t>а</w:t>
      </w:r>
      <w:r w:rsidR="00B156FF">
        <w:rPr>
          <w:rFonts w:ascii="Times New Roman" w:hAnsi="Times New Roman" w:cs="Times New Roman"/>
          <w:b w:val="0"/>
          <w:i/>
          <w:sz w:val="18"/>
          <w:szCs w:val="18"/>
        </w:rPr>
        <w:t xml:space="preserve"> сульфат моногидрат 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 жизненно важен для многих биологических функций, таких как иммунная резистентность, заживление ран, пищеварение, размножение и физический рост.</w:t>
      </w:r>
    </w:p>
    <w:p w14:paraId="76F5C66B" w14:textId="77777777" w:rsidR="004408E4" w:rsidRPr="0045157C" w:rsidRDefault="00E86760" w:rsidP="004408E4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i/>
          <w:sz w:val="18"/>
          <w:szCs w:val="18"/>
        </w:rPr>
        <w:t>Витамин B12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 играет ключевую роль в нормальном функционировании мозга и нервной системы, а также в кроветворении. Он участвует в метаболизме каждой клетки человеческого тела, особенно влияя на синтез и регуляцию ДНК.</w:t>
      </w:r>
    </w:p>
    <w:p w14:paraId="4DC9FF9D" w14:textId="77777777" w:rsidR="004408E4" w:rsidRPr="0045157C" w:rsidRDefault="00982F6A" w:rsidP="004408E4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i/>
          <w:sz w:val="18"/>
          <w:szCs w:val="18"/>
        </w:rPr>
      </w:pPr>
      <w:proofErr w:type="spellStart"/>
      <w:r w:rsidRPr="0045157C">
        <w:rPr>
          <w:rFonts w:ascii="Times New Roman" w:hAnsi="Times New Roman" w:cs="Times New Roman"/>
          <w:b w:val="0"/>
          <w:i/>
          <w:sz w:val="18"/>
          <w:szCs w:val="18"/>
        </w:rPr>
        <w:t>Фармакокинетика</w:t>
      </w:r>
      <w:proofErr w:type="spellEnd"/>
    </w:p>
    <w:p w14:paraId="596016E8" w14:textId="77777777" w:rsidR="00982F6A" w:rsidRPr="0045157C" w:rsidRDefault="00982F6A" w:rsidP="004408E4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После приема внутрь всасывается железо в форме двухвалентного железа. Превращению трехвалентного железа в двухвалентное железо способствует соляная кислота. Железо транспортируется через </w:t>
      </w:r>
      <w:proofErr w:type="spellStart"/>
      <w:r w:rsidRPr="0045157C">
        <w:rPr>
          <w:rFonts w:ascii="Times New Roman" w:hAnsi="Times New Roman" w:cs="Times New Roman"/>
          <w:b w:val="0"/>
          <w:sz w:val="18"/>
          <w:szCs w:val="18"/>
        </w:rPr>
        <w:t>трансферрин</w:t>
      </w:r>
      <w:proofErr w:type="spellEnd"/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. Когда запасы железа в организме высоки, трехвалентное железо соединяется с </w:t>
      </w:r>
      <w:proofErr w:type="spellStart"/>
      <w:r w:rsidRPr="0045157C">
        <w:rPr>
          <w:rFonts w:ascii="Times New Roman" w:hAnsi="Times New Roman" w:cs="Times New Roman"/>
          <w:b w:val="0"/>
          <w:sz w:val="18"/>
          <w:szCs w:val="18"/>
        </w:rPr>
        <w:t>апоферритином</w:t>
      </w:r>
      <w:proofErr w:type="spellEnd"/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 с образованием </w:t>
      </w:r>
      <w:proofErr w:type="spellStart"/>
      <w:r w:rsidRPr="0045157C">
        <w:rPr>
          <w:rFonts w:ascii="Times New Roman" w:hAnsi="Times New Roman" w:cs="Times New Roman"/>
          <w:b w:val="0"/>
          <w:sz w:val="18"/>
          <w:szCs w:val="18"/>
        </w:rPr>
        <w:t>ферритина</w:t>
      </w:r>
      <w:proofErr w:type="spellEnd"/>
      <w:r w:rsidRPr="0045157C">
        <w:rPr>
          <w:rFonts w:ascii="Times New Roman" w:hAnsi="Times New Roman" w:cs="Times New Roman"/>
          <w:b w:val="0"/>
          <w:sz w:val="18"/>
          <w:szCs w:val="18"/>
        </w:rPr>
        <w:t>.</w:t>
      </w:r>
    </w:p>
    <w:p w14:paraId="565B9932" w14:textId="77777777" w:rsidR="00982F6A" w:rsidRPr="0045157C" w:rsidRDefault="00982F6A" w:rsidP="00982F6A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proofErr w:type="spellStart"/>
      <w:r w:rsidRPr="0045157C">
        <w:rPr>
          <w:b w:val="0"/>
          <w:sz w:val="18"/>
          <w:szCs w:val="18"/>
        </w:rPr>
        <w:t>Ферритин</w:t>
      </w:r>
      <w:proofErr w:type="spellEnd"/>
      <w:r w:rsidRPr="0045157C">
        <w:rPr>
          <w:b w:val="0"/>
          <w:sz w:val="18"/>
          <w:szCs w:val="18"/>
        </w:rPr>
        <w:t xml:space="preserve"> </w:t>
      </w:r>
      <w:r w:rsidR="00566E7F" w:rsidRPr="0045157C">
        <w:rPr>
          <w:b w:val="0"/>
          <w:sz w:val="18"/>
          <w:szCs w:val="18"/>
        </w:rPr>
        <w:t>— это</w:t>
      </w:r>
      <w:r w:rsidRPr="0045157C">
        <w:rPr>
          <w:b w:val="0"/>
          <w:sz w:val="18"/>
          <w:szCs w:val="18"/>
        </w:rPr>
        <w:t xml:space="preserve"> белок хранения железа. Около 80% железа в плазме крови поступает в </w:t>
      </w:r>
      <w:proofErr w:type="spellStart"/>
      <w:r w:rsidRPr="0045157C">
        <w:rPr>
          <w:b w:val="0"/>
          <w:sz w:val="18"/>
          <w:szCs w:val="18"/>
        </w:rPr>
        <w:t>эритроидный</w:t>
      </w:r>
      <w:proofErr w:type="spellEnd"/>
      <w:r w:rsidRPr="0045157C">
        <w:rPr>
          <w:b w:val="0"/>
          <w:sz w:val="18"/>
          <w:szCs w:val="18"/>
        </w:rPr>
        <w:t xml:space="preserve"> мозг. Выведение железа минимальное. Лишь небольшое количество железа теряется при отшелушивании клеток слизистой оболочки кишечника, а его следовые количества выводятся с мочой, потом и желчью.</w:t>
      </w:r>
    </w:p>
    <w:p w14:paraId="131107FB" w14:textId="1A808845" w:rsidR="00982F6A" w:rsidRPr="0045157C" w:rsidRDefault="00982F6A" w:rsidP="00982F6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45157C">
        <w:rPr>
          <w:b w:val="0"/>
          <w:sz w:val="18"/>
          <w:szCs w:val="18"/>
        </w:rPr>
        <w:t>После подтверждения дефицита железа терапию железом можно наз</w:t>
      </w:r>
      <w:r w:rsidR="005F2E3F" w:rsidRPr="0045157C">
        <w:rPr>
          <w:b w:val="0"/>
          <w:sz w:val="18"/>
          <w:szCs w:val="18"/>
        </w:rPr>
        <w:t>начать перорально</w:t>
      </w:r>
      <w:r w:rsidRPr="0045157C">
        <w:rPr>
          <w:b w:val="0"/>
          <w:sz w:val="18"/>
          <w:szCs w:val="18"/>
        </w:rPr>
        <w:t xml:space="preserve">. Как правило, пероральная терапия железом назначается, за исключением случаев, когда пациент страдает тяжелой анемией, синдромом </w:t>
      </w:r>
      <w:proofErr w:type="spellStart"/>
      <w:r w:rsidRPr="0045157C">
        <w:rPr>
          <w:b w:val="0"/>
          <w:sz w:val="18"/>
          <w:szCs w:val="18"/>
        </w:rPr>
        <w:t>мальабсорбции</w:t>
      </w:r>
      <w:proofErr w:type="spellEnd"/>
      <w:r w:rsidRPr="0045157C">
        <w:rPr>
          <w:b w:val="0"/>
          <w:sz w:val="18"/>
          <w:szCs w:val="18"/>
        </w:rPr>
        <w:t xml:space="preserve">, </w:t>
      </w:r>
      <w:proofErr w:type="spellStart"/>
      <w:r w:rsidRPr="0045157C">
        <w:rPr>
          <w:b w:val="0"/>
          <w:sz w:val="18"/>
          <w:szCs w:val="18"/>
        </w:rPr>
        <w:t>гастрэктомией</w:t>
      </w:r>
      <w:proofErr w:type="spellEnd"/>
      <w:r w:rsidRPr="0045157C">
        <w:rPr>
          <w:b w:val="0"/>
          <w:sz w:val="18"/>
          <w:szCs w:val="18"/>
        </w:rPr>
        <w:t xml:space="preserve"> или у пациента не проявляются побочные эффекты пероральной терапии железом.</w:t>
      </w:r>
    </w:p>
    <w:p w14:paraId="0F6BE27B" w14:textId="77777777" w:rsidR="00982F6A" w:rsidRPr="0045157C" w:rsidRDefault="00982F6A" w:rsidP="00917039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</w:p>
    <w:p w14:paraId="37C48F41" w14:textId="535F5DB3" w:rsidR="00A009F6" w:rsidRPr="0045157C" w:rsidRDefault="00917039" w:rsidP="00A009F6">
      <w:pPr>
        <w:pStyle w:val="10"/>
        <w:keepNext/>
        <w:keepLines/>
        <w:shd w:val="clear" w:color="auto" w:fill="auto"/>
        <w:spacing w:before="0" w:line="240" w:lineRule="auto"/>
        <w:jc w:val="left"/>
        <w:rPr>
          <w:b w:val="0"/>
          <w:i/>
          <w:sz w:val="18"/>
          <w:szCs w:val="18"/>
        </w:rPr>
      </w:pPr>
      <w:bookmarkStart w:id="2" w:name="bookmark2"/>
      <w:bookmarkEnd w:id="1"/>
      <w:r w:rsidRPr="0045157C">
        <w:rPr>
          <w:sz w:val="18"/>
          <w:szCs w:val="18"/>
        </w:rPr>
        <w:t>Показания для применения</w:t>
      </w:r>
      <w:bookmarkEnd w:id="2"/>
      <w:r w:rsidRPr="0045157C">
        <w:rPr>
          <w:b w:val="0"/>
          <w:sz w:val="18"/>
          <w:szCs w:val="18"/>
        </w:rPr>
        <w:t>:</w:t>
      </w:r>
      <w:r w:rsidR="00A009F6" w:rsidRPr="0045157C">
        <w:rPr>
          <w:b w:val="0"/>
          <w:sz w:val="18"/>
          <w:szCs w:val="18"/>
        </w:rPr>
        <w:t xml:space="preserve"> </w:t>
      </w:r>
      <w:r w:rsidR="00A009F6" w:rsidRPr="0045157C">
        <w:rPr>
          <w:b w:val="0"/>
          <w:i/>
          <w:color w:val="202124"/>
          <w:sz w:val="18"/>
          <w:szCs w:val="18"/>
        </w:rPr>
        <w:t>применяется для лечения железодефицитных состояний в следующих случаях:</w:t>
      </w:r>
    </w:p>
    <w:p w14:paraId="0AB88057" w14:textId="77777777" w:rsidR="00A009F6" w:rsidRPr="0045157C" w:rsidRDefault="00A009F6" w:rsidP="00A009F6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02124"/>
          <w:sz w:val="18"/>
          <w:szCs w:val="18"/>
          <w:lang w:eastAsia="ru-RU"/>
        </w:rPr>
      </w:pPr>
      <w:r w:rsidRPr="0045157C">
        <w:rPr>
          <w:rFonts w:ascii="Times New Roman" w:eastAsia="Times New Roman" w:hAnsi="Times New Roman" w:cs="Times New Roman"/>
          <w:color w:val="202124"/>
          <w:sz w:val="18"/>
          <w:szCs w:val="18"/>
          <w:lang w:eastAsia="ru-RU"/>
        </w:rPr>
        <w:t>лечение дефицита железа без анемии и железодефицитной анемии (ЖДА)</w:t>
      </w:r>
      <w:r w:rsidRPr="0045157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45157C">
        <w:rPr>
          <w:rFonts w:ascii="Times New Roman" w:eastAsia="Times New Roman" w:hAnsi="Times New Roman" w:cs="Times New Roman"/>
          <w:color w:val="202124"/>
          <w:sz w:val="18"/>
          <w:szCs w:val="18"/>
          <w:lang w:eastAsia="ru-RU"/>
        </w:rPr>
        <w:t xml:space="preserve"> различного генеза и латентного дефицита железа;</w:t>
      </w:r>
    </w:p>
    <w:p w14:paraId="63204745" w14:textId="77777777" w:rsidR="00A009F6" w:rsidRPr="0045157C" w:rsidRDefault="00A009F6" w:rsidP="00A009F6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02124"/>
          <w:sz w:val="18"/>
          <w:szCs w:val="18"/>
          <w:lang w:eastAsia="ru-RU"/>
        </w:rPr>
      </w:pPr>
      <w:r w:rsidRPr="0045157C">
        <w:rPr>
          <w:rFonts w:ascii="Times New Roman" w:eastAsia="Times New Roman" w:hAnsi="Times New Roman" w:cs="Times New Roman"/>
          <w:color w:val="202124"/>
          <w:sz w:val="18"/>
          <w:szCs w:val="18"/>
          <w:lang w:eastAsia="ru-RU"/>
        </w:rPr>
        <w:t>профилактика дефицита железа;</w:t>
      </w:r>
    </w:p>
    <w:p w14:paraId="685B0EB6" w14:textId="77777777" w:rsidR="00A009F6" w:rsidRPr="0045157C" w:rsidRDefault="00A009F6" w:rsidP="00A009F6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02124"/>
          <w:sz w:val="18"/>
          <w:szCs w:val="18"/>
          <w:lang w:eastAsia="ru-RU"/>
        </w:rPr>
      </w:pPr>
      <w:r w:rsidRPr="0045157C">
        <w:rPr>
          <w:rFonts w:ascii="Times New Roman" w:eastAsia="Times New Roman" w:hAnsi="Times New Roman" w:cs="Times New Roman"/>
          <w:color w:val="202124"/>
          <w:sz w:val="18"/>
          <w:szCs w:val="18"/>
          <w:lang w:eastAsia="ru-RU"/>
        </w:rPr>
        <w:t>повышенная потребность в железе (беременность, период лактации, донорство, период интенсивного роста, вегетарианство, пожилой возраст);</w:t>
      </w:r>
    </w:p>
    <w:p w14:paraId="1ADAA5F3" w14:textId="4E29ED80" w:rsidR="00D60C94" w:rsidRPr="0045157C" w:rsidRDefault="00A009F6" w:rsidP="00D60C94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02124"/>
          <w:sz w:val="18"/>
          <w:szCs w:val="18"/>
          <w:lang w:eastAsia="ru-RU"/>
        </w:rPr>
      </w:pPr>
      <w:r w:rsidRPr="0045157C">
        <w:rPr>
          <w:rFonts w:ascii="Times New Roman" w:eastAsia="Times New Roman" w:hAnsi="Times New Roman" w:cs="Times New Roman"/>
          <w:color w:val="202124"/>
          <w:sz w:val="18"/>
          <w:szCs w:val="18"/>
          <w:lang w:eastAsia="ru-RU"/>
        </w:rPr>
        <w:t>при клинической потребности в  быстром восполнении запасов  железа в организме;</w:t>
      </w:r>
    </w:p>
    <w:p w14:paraId="6689244D" w14:textId="4739FD61" w:rsidR="00A009F6" w:rsidRPr="0045157C" w:rsidRDefault="00A009F6" w:rsidP="00A009F6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02124"/>
          <w:sz w:val="18"/>
          <w:szCs w:val="18"/>
          <w:lang w:eastAsia="ru-RU"/>
        </w:rPr>
      </w:pPr>
      <w:r w:rsidRPr="0045157C">
        <w:rPr>
          <w:rFonts w:ascii="Times New Roman" w:eastAsia="Times New Roman" w:hAnsi="Times New Roman" w:cs="Times New Roman"/>
          <w:color w:val="202124"/>
          <w:sz w:val="18"/>
          <w:szCs w:val="18"/>
          <w:lang w:eastAsia="ru-RU"/>
        </w:rPr>
        <w:t>при возникновении ЖДА после оперативных вмешательс</w:t>
      </w:r>
      <w:r w:rsidR="006F75BF" w:rsidRPr="0045157C">
        <w:rPr>
          <w:rFonts w:ascii="Times New Roman" w:eastAsia="Times New Roman" w:hAnsi="Times New Roman" w:cs="Times New Roman"/>
          <w:color w:val="202124"/>
          <w:sz w:val="18"/>
          <w:szCs w:val="18"/>
          <w:lang w:eastAsia="ru-RU"/>
        </w:rPr>
        <w:t>тв (постгеморрагическая анемия).</w:t>
      </w:r>
    </w:p>
    <w:p w14:paraId="694A1DE7" w14:textId="77777777" w:rsidR="00D60C94" w:rsidRPr="0045157C" w:rsidRDefault="00D60C94" w:rsidP="00D60C94">
      <w:pP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202124"/>
          <w:sz w:val="18"/>
          <w:szCs w:val="18"/>
          <w:lang w:eastAsia="ru-RU"/>
        </w:rPr>
      </w:pPr>
    </w:p>
    <w:p w14:paraId="6A3640DB" w14:textId="77777777" w:rsidR="0045157C" w:rsidRPr="0045157C" w:rsidRDefault="00917039" w:rsidP="0045157C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8"/>
          <w:szCs w:val="18"/>
        </w:rPr>
      </w:pPr>
      <w:bookmarkStart w:id="3" w:name="bookmark3"/>
      <w:r w:rsidRPr="0045157C">
        <w:rPr>
          <w:sz w:val="18"/>
          <w:szCs w:val="18"/>
        </w:rPr>
        <w:lastRenderedPageBreak/>
        <w:t>Способ применения и дозировка</w:t>
      </w:r>
      <w:bookmarkEnd w:id="3"/>
      <w:r w:rsidRPr="0045157C">
        <w:rPr>
          <w:sz w:val="18"/>
          <w:szCs w:val="18"/>
        </w:rPr>
        <w:t>:</w:t>
      </w:r>
      <w:bookmarkStart w:id="4" w:name="bookmark4"/>
    </w:p>
    <w:p w14:paraId="706AC662" w14:textId="14AA43D8" w:rsidR="0045157C" w:rsidRPr="0045157C" w:rsidRDefault="0045157C" w:rsidP="0045157C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8"/>
          <w:szCs w:val="18"/>
        </w:rPr>
      </w:pPr>
      <w:r w:rsidRPr="0045157C">
        <w:rPr>
          <w:noProof/>
          <w:sz w:val="18"/>
          <w:szCs w:val="18"/>
          <w:lang w:eastAsia="ru-RU"/>
        </w:rPr>
        <w:drawing>
          <wp:anchor distT="0" distB="0" distL="114300" distR="114300" simplePos="0" relativeHeight="251661312" behindDoc="1" locked="0" layoutInCell="1" allowOverlap="1" wp14:anchorId="70AC91B2" wp14:editId="63677DBB">
            <wp:simplePos x="0" y="0"/>
            <wp:positionH relativeFrom="page">
              <wp:posOffset>1028700</wp:posOffset>
            </wp:positionH>
            <wp:positionV relativeFrom="paragraph">
              <wp:posOffset>184150</wp:posOffset>
            </wp:positionV>
            <wp:extent cx="5542280" cy="34639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667477">
                      <a:off x="0" y="0"/>
                      <a:ext cx="5542280" cy="346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09F6" w:rsidRPr="0045157C">
        <w:rPr>
          <w:b w:val="0"/>
          <w:i/>
          <w:iCs/>
          <w:sz w:val="18"/>
          <w:szCs w:val="18"/>
          <w:shd w:val="clear" w:color="auto" w:fill="FFFFFF"/>
        </w:rPr>
        <w:t>Лечение железодефицитной анемии у детей старше 12 лет и взрослых пациентов:</w:t>
      </w:r>
      <w:r w:rsidR="00A009F6" w:rsidRPr="0045157C">
        <w:rPr>
          <w:b w:val="0"/>
          <w:sz w:val="18"/>
          <w:szCs w:val="18"/>
          <w:shd w:val="clear" w:color="auto" w:fill="FFFFFF"/>
        </w:rPr>
        <w:t xml:space="preserve"> по 1 капсуле  2-3 раза в сутки, ежедневно, в течение 3 - 5 месяцев до нормализации показателей гемоглобина (</w:t>
      </w:r>
      <w:proofErr w:type="spellStart"/>
      <w:r w:rsidR="00A009F6" w:rsidRPr="0045157C">
        <w:rPr>
          <w:b w:val="0"/>
          <w:sz w:val="18"/>
          <w:szCs w:val="18"/>
          <w:shd w:val="clear" w:color="auto" w:fill="FFFFFF"/>
        </w:rPr>
        <w:t>Hb</w:t>
      </w:r>
      <w:proofErr w:type="spellEnd"/>
      <w:r w:rsidR="00A009F6" w:rsidRPr="0045157C">
        <w:rPr>
          <w:b w:val="0"/>
          <w:sz w:val="18"/>
          <w:szCs w:val="18"/>
          <w:shd w:val="clear" w:color="auto" w:fill="FFFFFF"/>
        </w:rPr>
        <w:t>). После этого препарат необходимо продолжать принимать. Поддерживающую терапию проводят в течение еще не менее 4 недель после достижения нормального уровня гемоглобина (1 капсула в день) с целью восполнения запасов железа в организме.</w:t>
      </w:r>
    </w:p>
    <w:p w14:paraId="36EF1517" w14:textId="737CB82E" w:rsidR="0045157C" w:rsidRPr="0045157C" w:rsidRDefault="00A009F6" w:rsidP="0045157C">
      <w:pPr>
        <w:pStyle w:val="10"/>
        <w:keepNext/>
        <w:keepLines/>
        <w:shd w:val="clear" w:color="auto" w:fill="auto"/>
        <w:spacing w:before="0" w:line="240" w:lineRule="auto"/>
        <w:jc w:val="left"/>
        <w:rPr>
          <w:b w:val="0"/>
          <w:sz w:val="18"/>
          <w:szCs w:val="18"/>
          <w:shd w:val="clear" w:color="auto" w:fill="FFFFFF"/>
        </w:rPr>
      </w:pPr>
      <w:r w:rsidRPr="0045157C">
        <w:rPr>
          <w:b w:val="0"/>
          <w:i/>
          <w:sz w:val="18"/>
          <w:szCs w:val="18"/>
          <w:shd w:val="clear" w:color="auto" w:fill="FFFFFF"/>
        </w:rPr>
        <w:t>Лечение дефицита железа без анемии у детей старше 12 лет и взрослых пациентов:</w:t>
      </w:r>
      <w:r w:rsidR="00B156FF">
        <w:rPr>
          <w:b w:val="0"/>
          <w:sz w:val="18"/>
          <w:szCs w:val="18"/>
          <w:shd w:val="clear" w:color="auto" w:fill="FFFFFF"/>
        </w:rPr>
        <w:t xml:space="preserve"> назначают </w:t>
      </w:r>
      <w:proofErr w:type="gramStart"/>
      <w:r w:rsidR="00B156FF">
        <w:rPr>
          <w:b w:val="0"/>
          <w:sz w:val="18"/>
          <w:szCs w:val="18"/>
          <w:shd w:val="clear" w:color="auto" w:fill="FFFFFF"/>
        </w:rPr>
        <w:t>по</w:t>
      </w:r>
      <w:proofErr w:type="gramEnd"/>
      <w:r w:rsidR="00B156FF">
        <w:rPr>
          <w:b w:val="0"/>
          <w:sz w:val="18"/>
          <w:szCs w:val="18"/>
          <w:shd w:val="clear" w:color="auto" w:fill="FFFFFF"/>
        </w:rPr>
        <w:t xml:space="preserve"> </w:t>
      </w:r>
      <w:r w:rsidRPr="0045157C">
        <w:rPr>
          <w:b w:val="0"/>
          <w:sz w:val="18"/>
          <w:szCs w:val="18"/>
          <w:shd w:val="clear" w:color="auto" w:fill="FFFFFF"/>
        </w:rPr>
        <w:t xml:space="preserve"> </w:t>
      </w:r>
    </w:p>
    <w:p w14:paraId="2D41D4B6" w14:textId="29EC10B6" w:rsidR="0045157C" w:rsidRPr="0045157C" w:rsidRDefault="00B156FF" w:rsidP="0045157C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8"/>
          <w:szCs w:val="18"/>
        </w:rPr>
      </w:pPr>
      <w:r>
        <w:rPr>
          <w:b w:val="0"/>
          <w:sz w:val="18"/>
          <w:szCs w:val="18"/>
          <w:shd w:val="clear" w:color="auto" w:fill="FFFFFF"/>
        </w:rPr>
        <w:t xml:space="preserve">1 капсуле в </w:t>
      </w:r>
      <w:r w:rsidR="00A009F6" w:rsidRPr="0045157C">
        <w:rPr>
          <w:b w:val="0"/>
          <w:sz w:val="18"/>
          <w:szCs w:val="18"/>
          <w:shd w:val="clear" w:color="auto" w:fill="FFFFFF"/>
        </w:rPr>
        <w:t>сут</w:t>
      </w:r>
      <w:r w:rsidR="0045157C" w:rsidRPr="0045157C">
        <w:rPr>
          <w:b w:val="0"/>
          <w:sz w:val="18"/>
          <w:szCs w:val="18"/>
          <w:shd w:val="clear" w:color="auto" w:fill="FFFFFF"/>
        </w:rPr>
        <w:t>ки</w:t>
      </w:r>
      <w:r w:rsidR="00A009F6" w:rsidRPr="0045157C">
        <w:rPr>
          <w:b w:val="0"/>
          <w:sz w:val="18"/>
          <w:szCs w:val="18"/>
          <w:shd w:val="clear" w:color="auto" w:fill="FFFFFF"/>
        </w:rPr>
        <w:t xml:space="preserve"> в течение 1-2 мес.</w:t>
      </w:r>
    </w:p>
    <w:p w14:paraId="494883B2" w14:textId="7A3C322C" w:rsidR="00917039" w:rsidRPr="0045157C" w:rsidRDefault="00A009F6" w:rsidP="00917039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8"/>
          <w:szCs w:val="18"/>
        </w:rPr>
      </w:pPr>
      <w:r w:rsidRPr="0045157C">
        <w:rPr>
          <w:b w:val="0"/>
          <w:i/>
          <w:iCs/>
          <w:sz w:val="18"/>
          <w:szCs w:val="18"/>
          <w:shd w:val="clear" w:color="auto" w:fill="FFFFFF"/>
        </w:rPr>
        <w:t>Лечение железодефицитной анемии при беременности:</w:t>
      </w:r>
      <w:r w:rsidRPr="0045157C">
        <w:rPr>
          <w:b w:val="0"/>
          <w:sz w:val="18"/>
          <w:szCs w:val="18"/>
          <w:shd w:val="clear" w:color="auto" w:fill="FFFFFF"/>
        </w:rPr>
        <w:t xml:space="preserve"> по 1 капсуле  2-3 раза в  сутки, ежедневно, до нормализации показателей </w:t>
      </w:r>
      <w:proofErr w:type="spellStart"/>
      <w:r w:rsidRPr="0045157C">
        <w:rPr>
          <w:b w:val="0"/>
          <w:sz w:val="18"/>
          <w:szCs w:val="18"/>
          <w:shd w:val="clear" w:color="auto" w:fill="FFFFFF"/>
        </w:rPr>
        <w:t>Hb</w:t>
      </w:r>
      <w:proofErr w:type="spellEnd"/>
      <w:r w:rsidRPr="0045157C">
        <w:rPr>
          <w:b w:val="0"/>
          <w:sz w:val="18"/>
          <w:szCs w:val="18"/>
          <w:shd w:val="clear" w:color="auto" w:fill="FFFFFF"/>
        </w:rPr>
        <w:t>. После этого препарат необходимо продолжать принимать до конца беременности в дозировке, применяющейся при дефиците железа без анемии с целью восполнения запасов железа в организме и удовлетворения повышенной потребности в железе во время беременности.</w:t>
      </w:r>
    </w:p>
    <w:p w14:paraId="7DF12179" w14:textId="77777777" w:rsidR="00917039" w:rsidRPr="0045157C" w:rsidRDefault="003D0331" w:rsidP="00917039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8"/>
          <w:szCs w:val="18"/>
        </w:rPr>
      </w:pPr>
      <w:r w:rsidRPr="0045157C">
        <w:rPr>
          <w:sz w:val="18"/>
          <w:szCs w:val="18"/>
        </w:rPr>
        <w:t>Побочные действ</w:t>
      </w:r>
      <w:bookmarkEnd w:id="4"/>
      <w:r w:rsidRPr="0045157C">
        <w:rPr>
          <w:sz w:val="18"/>
          <w:szCs w:val="18"/>
        </w:rPr>
        <w:t>ия</w:t>
      </w:r>
      <w:r w:rsidR="00B82F5D" w:rsidRPr="0045157C">
        <w:rPr>
          <w:sz w:val="18"/>
          <w:szCs w:val="18"/>
        </w:rPr>
        <w:t>:</w:t>
      </w:r>
    </w:p>
    <w:p w14:paraId="269E08AF" w14:textId="43CE2738" w:rsidR="00917039" w:rsidRPr="0045157C" w:rsidRDefault="00B85A9F" w:rsidP="00917039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Побочные реакции при приеме добавок железа могут включать запор, диарею, тошноту, рвоту, темный стул и боли в животе. Побочные реакции терапии железа обычно носят кратковременный характер. Аллергическая сенсибилизация может возникать после перорального приема фолиевой кислоты. </w:t>
      </w:r>
      <w:proofErr w:type="gramStart"/>
      <w:r w:rsidRPr="0045157C">
        <w:rPr>
          <w:rFonts w:ascii="Times New Roman" w:hAnsi="Times New Roman" w:cs="Times New Roman"/>
          <w:b w:val="0"/>
          <w:sz w:val="18"/>
          <w:szCs w:val="18"/>
        </w:rPr>
        <w:t>Возможно возникновение таких побочных реакций как тошнота, расстройство желудка, изжога, повышенная температура, озноб, диарея, рвота, желудочно-кишечный дискомфорт, стойкая зудящая сыпь, реакции гиперчувствительности, потеря аппетита.</w:t>
      </w:r>
      <w:proofErr w:type="gramEnd"/>
    </w:p>
    <w:p w14:paraId="371211BD" w14:textId="77777777" w:rsidR="00AE1E8D" w:rsidRPr="0045157C" w:rsidRDefault="00AE1E8D" w:rsidP="00AE1E8D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5157C">
        <w:rPr>
          <w:rFonts w:ascii="Times New Roman" w:hAnsi="Times New Roman" w:cs="Times New Roman"/>
          <w:sz w:val="18"/>
          <w:szCs w:val="18"/>
        </w:rPr>
        <w:t>Предупреждения и меры предосторожности</w:t>
      </w:r>
      <w:r w:rsidR="00654017" w:rsidRPr="0045157C">
        <w:rPr>
          <w:rFonts w:ascii="Times New Roman" w:hAnsi="Times New Roman" w:cs="Times New Roman"/>
          <w:sz w:val="18"/>
          <w:szCs w:val="18"/>
        </w:rPr>
        <w:t>:</w:t>
      </w:r>
    </w:p>
    <w:p w14:paraId="2761D827" w14:textId="6049D7D4" w:rsidR="00A009F6" w:rsidRPr="0045157C" w:rsidRDefault="00AE1E8D" w:rsidP="00A009F6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При </w:t>
      </w:r>
      <w:r w:rsidR="00B156FF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>беремен</w:t>
      </w:r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 xml:space="preserve">ности, планировании беременности 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 или кормлении грудью, необходимо проконсультироваться с лечащим врачом или поставщиком медицинских услуг до начала использования или продолжения использования препарата. Не превышайте рекомендуемую дозу. Тип анемии и причины должны быть опред</w:t>
      </w:r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 xml:space="preserve">елены до начала приема </w:t>
      </w:r>
      <w:proofErr w:type="spellStart"/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. Поскольку анемия может быть результатом системного нарушения, такого как рецидивирующая кровопотеря, следует, если это возможно, устранить первопричину. </w:t>
      </w:r>
      <w:bookmarkStart w:id="5" w:name="bookmark5"/>
    </w:p>
    <w:p w14:paraId="5959DC68" w14:textId="77777777" w:rsidR="00A009F6" w:rsidRPr="0045157C" w:rsidRDefault="00917039" w:rsidP="00A009F6">
      <w:pPr>
        <w:pStyle w:val="2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5157C">
        <w:rPr>
          <w:rFonts w:ascii="Times New Roman" w:hAnsi="Times New Roman" w:cs="Times New Roman"/>
          <w:sz w:val="18"/>
          <w:szCs w:val="18"/>
        </w:rPr>
        <w:t>Противопоказания</w:t>
      </w:r>
      <w:bookmarkEnd w:id="5"/>
      <w:r w:rsidRPr="0045157C">
        <w:rPr>
          <w:rFonts w:ascii="Times New Roman" w:hAnsi="Times New Roman" w:cs="Times New Roman"/>
          <w:sz w:val="18"/>
          <w:szCs w:val="18"/>
        </w:rPr>
        <w:t>:</w:t>
      </w:r>
      <w:r w:rsidR="00A009F6" w:rsidRPr="0045157C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879D6A5" w14:textId="324EEF83" w:rsidR="00A009F6" w:rsidRPr="0045157C" w:rsidRDefault="00A009F6" w:rsidP="00A009F6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sz w:val="18"/>
          <w:szCs w:val="18"/>
        </w:rPr>
        <w:t xml:space="preserve">•      </w:t>
      </w:r>
      <w:r w:rsidR="009047DC" w:rsidRPr="0045157C">
        <w:rPr>
          <w:rFonts w:ascii="Times New Roman" w:hAnsi="Times New Roman" w:cs="Times New Roman"/>
          <w:sz w:val="18"/>
          <w:szCs w:val="18"/>
        </w:rPr>
        <w:t xml:space="preserve">   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>гиперчувствительность к ЖПК или к компонентам препарата;</w:t>
      </w:r>
    </w:p>
    <w:p w14:paraId="552C4F88" w14:textId="235FEE8A" w:rsidR="00A009F6" w:rsidRPr="0045157C" w:rsidRDefault="00A009F6" w:rsidP="00A009F6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•     </w:t>
      </w:r>
      <w:r w:rsidR="009047DC" w:rsidRPr="0045157C">
        <w:rPr>
          <w:rFonts w:ascii="Times New Roman" w:hAnsi="Times New Roman" w:cs="Times New Roman"/>
          <w:b w:val="0"/>
          <w:sz w:val="18"/>
          <w:szCs w:val="18"/>
        </w:rPr>
        <w:t xml:space="preserve">   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 детский возраст до 12 лет;</w:t>
      </w:r>
    </w:p>
    <w:p w14:paraId="1FF3FB36" w14:textId="60F147E4" w:rsidR="00A009F6" w:rsidRPr="0045157C" w:rsidRDefault="00A009F6" w:rsidP="00A009F6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•     </w:t>
      </w:r>
      <w:r w:rsidR="009047DC" w:rsidRPr="0045157C">
        <w:rPr>
          <w:rFonts w:ascii="Times New Roman" w:hAnsi="Times New Roman" w:cs="Times New Roman"/>
          <w:b w:val="0"/>
          <w:sz w:val="18"/>
          <w:szCs w:val="18"/>
        </w:rPr>
        <w:t xml:space="preserve">   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 перенасыщение железом, например </w:t>
      </w:r>
      <w:proofErr w:type="spellStart"/>
      <w:r w:rsidRPr="0045157C">
        <w:rPr>
          <w:rFonts w:ascii="Times New Roman" w:hAnsi="Times New Roman" w:cs="Times New Roman"/>
          <w:b w:val="0"/>
          <w:sz w:val="18"/>
          <w:szCs w:val="18"/>
        </w:rPr>
        <w:t>гемохроматоз</w:t>
      </w:r>
      <w:proofErr w:type="spellEnd"/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, </w:t>
      </w:r>
      <w:proofErr w:type="spellStart"/>
      <w:r w:rsidRPr="0045157C">
        <w:rPr>
          <w:rFonts w:ascii="Times New Roman" w:hAnsi="Times New Roman" w:cs="Times New Roman"/>
          <w:b w:val="0"/>
          <w:sz w:val="18"/>
          <w:szCs w:val="18"/>
        </w:rPr>
        <w:t>гемосидероз</w:t>
      </w:r>
      <w:proofErr w:type="spellEnd"/>
      <w:r w:rsidRPr="0045157C">
        <w:rPr>
          <w:rFonts w:ascii="Times New Roman" w:hAnsi="Times New Roman" w:cs="Times New Roman"/>
          <w:b w:val="0"/>
          <w:sz w:val="18"/>
          <w:szCs w:val="18"/>
        </w:rPr>
        <w:t>;</w:t>
      </w:r>
    </w:p>
    <w:p w14:paraId="6DF9022F" w14:textId="14FCE6AD" w:rsidR="00A009F6" w:rsidRPr="0045157C" w:rsidRDefault="00A009F6" w:rsidP="00A009F6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•   </w:t>
      </w:r>
      <w:r w:rsidR="009047DC" w:rsidRPr="0045157C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нарушения усвоения железа, такие как анемия, вызванная отравлением свинцом, </w:t>
      </w:r>
      <w:proofErr w:type="spellStart"/>
      <w:r w:rsidRPr="0045157C">
        <w:rPr>
          <w:rFonts w:ascii="Times New Roman" w:hAnsi="Times New Roman" w:cs="Times New Roman"/>
          <w:b w:val="0"/>
          <w:sz w:val="18"/>
          <w:szCs w:val="18"/>
        </w:rPr>
        <w:t>сидеробластная</w:t>
      </w:r>
      <w:proofErr w:type="spellEnd"/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 анемия, </w:t>
      </w:r>
      <w:r w:rsidR="0045157C" w:rsidRPr="0045157C">
        <w:rPr>
          <w:rFonts w:ascii="Times New Roman" w:hAnsi="Times New Roman" w:cs="Times New Roman"/>
          <w:b w:val="0"/>
          <w:sz w:val="18"/>
          <w:szCs w:val="18"/>
        </w:rPr>
        <w:t xml:space="preserve">  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>талассемия;</w:t>
      </w:r>
    </w:p>
    <w:p w14:paraId="04D5AE6D" w14:textId="0865439F" w:rsidR="00A009F6" w:rsidRPr="0045157C" w:rsidRDefault="00A009F6" w:rsidP="00A009F6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sz w:val="18"/>
          <w:szCs w:val="18"/>
        </w:rPr>
        <w:t>•     применение препарата в первом триместре беременности противопоказано. Препарат следует применять во втором и третьем триместрах беременности только тогда, когда потенциальная польза для матери превышает потенциальный риск для плода.</w:t>
      </w:r>
    </w:p>
    <w:p w14:paraId="14914DEA" w14:textId="5BE265C3" w:rsidR="00A009F6" w:rsidRPr="0045157C" w:rsidRDefault="009047DC" w:rsidP="00A009F6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sz w:val="18"/>
          <w:szCs w:val="18"/>
        </w:rPr>
        <w:t>•       б</w:t>
      </w:r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>ронхиальная астма;</w:t>
      </w:r>
    </w:p>
    <w:p w14:paraId="2566B3F8" w14:textId="579C47C0" w:rsidR="00A009F6" w:rsidRPr="0045157C" w:rsidRDefault="009047DC" w:rsidP="00A009F6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sz w:val="18"/>
          <w:szCs w:val="18"/>
        </w:rPr>
        <w:t>•       и</w:t>
      </w:r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>нфекционные болезни почек в острой стадии;</w:t>
      </w:r>
    </w:p>
    <w:p w14:paraId="70130024" w14:textId="49C01D77" w:rsidR="00A009F6" w:rsidRPr="0045157C" w:rsidRDefault="009047DC" w:rsidP="00A009F6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sz w:val="18"/>
          <w:szCs w:val="18"/>
        </w:rPr>
        <w:t>•       н</w:t>
      </w:r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 xml:space="preserve">еконтролируемый </w:t>
      </w:r>
      <w:proofErr w:type="spellStart"/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>гиперпаратиреоз</w:t>
      </w:r>
      <w:proofErr w:type="spellEnd"/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>;</w:t>
      </w:r>
    </w:p>
    <w:p w14:paraId="2F900546" w14:textId="7F2E0518" w:rsidR="00A009F6" w:rsidRPr="0045157C" w:rsidRDefault="009047DC" w:rsidP="00A009F6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sz w:val="18"/>
          <w:szCs w:val="18"/>
        </w:rPr>
        <w:t>•       д</w:t>
      </w:r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>е</w:t>
      </w:r>
      <w:r w:rsidRPr="0045157C">
        <w:rPr>
          <w:rFonts w:ascii="Times New Roman" w:hAnsi="Times New Roman" w:cs="Times New Roman"/>
          <w:b w:val="0"/>
          <w:sz w:val="18"/>
          <w:szCs w:val="18"/>
        </w:rPr>
        <w:t>компенсированный цирроз печени;</w:t>
      </w:r>
    </w:p>
    <w:p w14:paraId="56652BAC" w14:textId="1B19571B" w:rsidR="00917039" w:rsidRPr="0045157C" w:rsidRDefault="009047DC" w:rsidP="00A009F6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sz w:val="18"/>
          <w:szCs w:val="18"/>
        </w:rPr>
        <w:t xml:space="preserve">•     </w:t>
      </w:r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 xml:space="preserve">анемия, причиной которой не является дефицит железа, например гемолитическая анемия или </w:t>
      </w:r>
      <w:proofErr w:type="spellStart"/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>мегалобластная</w:t>
      </w:r>
      <w:proofErr w:type="spellEnd"/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 xml:space="preserve"> анемия, вызванная дефицитом витамина B12, нарушения </w:t>
      </w:r>
      <w:proofErr w:type="spellStart"/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>эритропоэза</w:t>
      </w:r>
      <w:proofErr w:type="spellEnd"/>
      <w:r w:rsidR="00A009F6" w:rsidRPr="0045157C">
        <w:rPr>
          <w:rFonts w:ascii="Times New Roman" w:hAnsi="Times New Roman" w:cs="Times New Roman"/>
          <w:b w:val="0"/>
          <w:sz w:val="18"/>
          <w:szCs w:val="18"/>
        </w:rPr>
        <w:t>, гипоплазия костного мозга.</w:t>
      </w:r>
    </w:p>
    <w:p w14:paraId="52F777D1" w14:textId="77777777" w:rsidR="00917039" w:rsidRPr="0045157C" w:rsidRDefault="00917039" w:rsidP="00917039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bookmarkStart w:id="6" w:name="bookmark6"/>
      <w:r w:rsidRPr="0045157C">
        <w:rPr>
          <w:sz w:val="18"/>
          <w:szCs w:val="18"/>
        </w:rPr>
        <w:t>Передозировка</w:t>
      </w:r>
      <w:bookmarkEnd w:id="6"/>
      <w:r w:rsidRPr="0045157C">
        <w:rPr>
          <w:sz w:val="18"/>
          <w:szCs w:val="18"/>
        </w:rPr>
        <w:t>:</w:t>
      </w:r>
    </w:p>
    <w:p w14:paraId="7ABC7DFE" w14:textId="77777777" w:rsidR="00B85A9F" w:rsidRPr="0045157C" w:rsidRDefault="00B85A9F" w:rsidP="00917039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45157C">
        <w:rPr>
          <w:b w:val="0"/>
          <w:sz w:val="18"/>
          <w:szCs w:val="18"/>
        </w:rPr>
        <w:t xml:space="preserve">Клинический ход острой передозировки железом может быть вариабельным. </w:t>
      </w:r>
      <w:proofErr w:type="gramStart"/>
      <w:r w:rsidRPr="0045157C">
        <w:rPr>
          <w:b w:val="0"/>
          <w:sz w:val="18"/>
          <w:szCs w:val="18"/>
        </w:rPr>
        <w:t xml:space="preserve">Первоначальные симптомы могут включать боли в животе, тошноту, рвоту, диарею, дегтеобразный стул, </w:t>
      </w:r>
      <w:proofErr w:type="spellStart"/>
      <w:r w:rsidRPr="0045157C">
        <w:rPr>
          <w:b w:val="0"/>
          <w:sz w:val="18"/>
          <w:szCs w:val="18"/>
        </w:rPr>
        <w:t>мелену</w:t>
      </w:r>
      <w:proofErr w:type="spellEnd"/>
      <w:r w:rsidRPr="0045157C">
        <w:rPr>
          <w:b w:val="0"/>
          <w:sz w:val="18"/>
          <w:szCs w:val="18"/>
        </w:rPr>
        <w:t xml:space="preserve">, </w:t>
      </w:r>
      <w:proofErr w:type="spellStart"/>
      <w:r w:rsidRPr="0045157C">
        <w:rPr>
          <w:b w:val="0"/>
          <w:sz w:val="18"/>
          <w:szCs w:val="18"/>
        </w:rPr>
        <w:t>гематемию</w:t>
      </w:r>
      <w:proofErr w:type="spellEnd"/>
      <w:r w:rsidRPr="0045157C">
        <w:rPr>
          <w:b w:val="0"/>
          <w:sz w:val="18"/>
          <w:szCs w:val="18"/>
        </w:rPr>
        <w:t>, гипотонию, тахикардию, метаболический ацидоз, гипергликемию, обезвоживание, сонливость, бледность, цианоз, усталость, судороги, шок и кому.</w:t>
      </w:r>
      <w:proofErr w:type="gramEnd"/>
    </w:p>
    <w:p w14:paraId="2C3A6DCA" w14:textId="77777777" w:rsidR="00917039" w:rsidRPr="0045157C" w:rsidRDefault="00917039" w:rsidP="00917039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bookmarkStart w:id="7" w:name="bookmark8"/>
      <w:r w:rsidRPr="0045157C">
        <w:rPr>
          <w:sz w:val="18"/>
          <w:szCs w:val="18"/>
        </w:rPr>
        <w:t>Беременность и грудное вскармливание</w:t>
      </w:r>
      <w:bookmarkEnd w:id="7"/>
      <w:r w:rsidRPr="0045157C">
        <w:rPr>
          <w:sz w:val="18"/>
          <w:szCs w:val="18"/>
        </w:rPr>
        <w:t>:</w:t>
      </w:r>
    </w:p>
    <w:p w14:paraId="5892A33E" w14:textId="77777777" w:rsidR="004408E4" w:rsidRPr="0045157C" w:rsidRDefault="004408E4" w:rsidP="00917039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45157C">
        <w:rPr>
          <w:b w:val="0"/>
          <w:sz w:val="18"/>
          <w:szCs w:val="18"/>
          <w:shd w:val="clear" w:color="auto" w:fill="FFFFFF"/>
        </w:rPr>
        <w:t>В контролируемых исследованиях у беременных женщин во втором и третьем триместрах беременности не было отмечено нежелательного влияния препарата на мать и плод. Во время первого триместра беременности препарат следует применять только в том случае, если потенциальная польза от применения препарата у матери, превышает возможный риск для плода.</w:t>
      </w:r>
    </w:p>
    <w:p w14:paraId="0C8D5898" w14:textId="77777777" w:rsidR="00917039" w:rsidRPr="0045157C" w:rsidRDefault="00917039" w:rsidP="00917039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bookmarkStart w:id="8" w:name="bookmark10"/>
      <w:r w:rsidRPr="0045157C">
        <w:rPr>
          <w:sz w:val="18"/>
          <w:szCs w:val="18"/>
        </w:rPr>
        <w:t>Взаимодействие с другими лекарственными средствами</w:t>
      </w:r>
      <w:bookmarkEnd w:id="8"/>
      <w:r w:rsidRPr="0045157C">
        <w:rPr>
          <w:sz w:val="18"/>
          <w:szCs w:val="18"/>
        </w:rPr>
        <w:t>:</w:t>
      </w:r>
    </w:p>
    <w:p w14:paraId="258C753E" w14:textId="07316171" w:rsidR="004408E4" w:rsidRPr="0045157C" w:rsidRDefault="004408E4" w:rsidP="004408E4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r w:rsidRPr="0045157C">
        <w:rPr>
          <w:b w:val="0"/>
          <w:sz w:val="18"/>
          <w:szCs w:val="18"/>
        </w:rPr>
        <w:t>Как п</w:t>
      </w:r>
      <w:r w:rsidR="009047DC" w:rsidRPr="0045157C">
        <w:rPr>
          <w:b w:val="0"/>
          <w:sz w:val="18"/>
          <w:szCs w:val="18"/>
        </w:rPr>
        <w:t xml:space="preserve">равило, взаимодействия </w:t>
      </w:r>
      <w:proofErr w:type="spellStart"/>
      <w:r w:rsidR="009047DC" w:rsidRPr="0045157C">
        <w:rPr>
          <w:b w:val="0"/>
          <w:sz w:val="18"/>
          <w:szCs w:val="18"/>
        </w:rPr>
        <w:t>Ферролайф</w:t>
      </w:r>
      <w:proofErr w:type="spellEnd"/>
      <w:r w:rsidRPr="0045157C">
        <w:rPr>
          <w:b w:val="0"/>
          <w:sz w:val="18"/>
          <w:szCs w:val="18"/>
        </w:rPr>
        <w:t xml:space="preserve"> с пищей или лекарствами не наблюдаются и не очевидны, в отличие от того, что происходит с солями железа. Однако было показано, что пероральная соль железа демонстрирует следующий профиль взаимодействия.</w:t>
      </w:r>
    </w:p>
    <w:p w14:paraId="187AA3F1" w14:textId="04F1C5AC" w:rsidR="004408E4" w:rsidRPr="0045157C" w:rsidRDefault="004408E4" w:rsidP="004408E4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r w:rsidRPr="0045157C">
        <w:rPr>
          <w:b w:val="0"/>
          <w:sz w:val="18"/>
          <w:szCs w:val="18"/>
        </w:rPr>
        <w:t>Антациды: снижается всасывание железа в желудочно-кишечном тракте.</w:t>
      </w:r>
    </w:p>
    <w:p w14:paraId="33F014EA" w14:textId="77777777" w:rsidR="004408E4" w:rsidRPr="0045157C" w:rsidRDefault="004408E4" w:rsidP="004408E4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r w:rsidRPr="0045157C">
        <w:rPr>
          <w:b w:val="0"/>
          <w:sz w:val="18"/>
          <w:szCs w:val="18"/>
        </w:rPr>
        <w:t>Аскорбиновая кислота: усилено всасывание железа в желудочно-кишечном тракте.</w:t>
      </w:r>
      <w:r w:rsidR="00566E7F" w:rsidRPr="0045157C">
        <w:rPr>
          <w:noProof/>
          <w:sz w:val="18"/>
          <w:szCs w:val="18"/>
        </w:rPr>
        <w:t xml:space="preserve"> </w:t>
      </w:r>
    </w:p>
    <w:p w14:paraId="1C5F2FF9" w14:textId="77777777" w:rsidR="004408E4" w:rsidRPr="0045157C" w:rsidRDefault="004408E4" w:rsidP="004408E4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proofErr w:type="spellStart"/>
      <w:r w:rsidRPr="0045157C">
        <w:rPr>
          <w:b w:val="0"/>
          <w:sz w:val="18"/>
          <w:szCs w:val="18"/>
        </w:rPr>
        <w:t>Хлорамфеникол</w:t>
      </w:r>
      <w:proofErr w:type="spellEnd"/>
      <w:r w:rsidRPr="0045157C">
        <w:rPr>
          <w:b w:val="0"/>
          <w:sz w:val="18"/>
          <w:szCs w:val="18"/>
        </w:rPr>
        <w:t>: уровень железа в сыворотке может быть повышен.</w:t>
      </w:r>
    </w:p>
    <w:p w14:paraId="0AC02A91" w14:textId="77777777" w:rsidR="004408E4" w:rsidRPr="0045157C" w:rsidRDefault="004408E4" w:rsidP="004408E4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proofErr w:type="spellStart"/>
      <w:r w:rsidRPr="0045157C">
        <w:rPr>
          <w:b w:val="0"/>
          <w:sz w:val="18"/>
          <w:szCs w:val="18"/>
        </w:rPr>
        <w:t>Циметидин</w:t>
      </w:r>
      <w:proofErr w:type="spellEnd"/>
      <w:r w:rsidRPr="0045157C">
        <w:rPr>
          <w:b w:val="0"/>
          <w:sz w:val="18"/>
          <w:szCs w:val="18"/>
        </w:rPr>
        <w:t>: может снижаться всасывание в желудочно-кишечном тракте.</w:t>
      </w:r>
    </w:p>
    <w:p w14:paraId="092DBE9E" w14:textId="77777777" w:rsidR="004408E4" w:rsidRPr="0045157C" w:rsidRDefault="004408E4" w:rsidP="004408E4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proofErr w:type="spellStart"/>
      <w:r w:rsidRPr="0045157C">
        <w:rPr>
          <w:b w:val="0"/>
          <w:sz w:val="18"/>
          <w:szCs w:val="18"/>
        </w:rPr>
        <w:t>Леводопа</w:t>
      </w:r>
      <w:proofErr w:type="spellEnd"/>
      <w:r w:rsidRPr="0045157C">
        <w:rPr>
          <w:b w:val="0"/>
          <w:sz w:val="18"/>
          <w:szCs w:val="18"/>
        </w:rPr>
        <w:t xml:space="preserve">: снижение уровня </w:t>
      </w:r>
      <w:proofErr w:type="spellStart"/>
      <w:r w:rsidRPr="0045157C">
        <w:rPr>
          <w:b w:val="0"/>
          <w:sz w:val="18"/>
          <w:szCs w:val="18"/>
        </w:rPr>
        <w:t>леводопы</w:t>
      </w:r>
      <w:proofErr w:type="spellEnd"/>
      <w:r w:rsidRPr="0045157C">
        <w:rPr>
          <w:b w:val="0"/>
          <w:sz w:val="18"/>
          <w:szCs w:val="18"/>
        </w:rPr>
        <w:t xml:space="preserve"> в сыворотке крови.</w:t>
      </w:r>
    </w:p>
    <w:p w14:paraId="3AF660E1" w14:textId="77777777" w:rsidR="004408E4" w:rsidRPr="0045157C" w:rsidRDefault="004408E4" w:rsidP="004408E4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proofErr w:type="spellStart"/>
      <w:r w:rsidRPr="0045157C">
        <w:rPr>
          <w:b w:val="0"/>
          <w:sz w:val="18"/>
          <w:szCs w:val="18"/>
        </w:rPr>
        <w:t>Метилдопа</w:t>
      </w:r>
      <w:proofErr w:type="spellEnd"/>
      <w:r w:rsidRPr="0045157C">
        <w:rPr>
          <w:b w:val="0"/>
          <w:sz w:val="18"/>
          <w:szCs w:val="18"/>
        </w:rPr>
        <w:t xml:space="preserve">: может привести к снижению эффективности </w:t>
      </w:r>
      <w:proofErr w:type="spellStart"/>
      <w:r w:rsidRPr="0045157C">
        <w:rPr>
          <w:b w:val="0"/>
          <w:sz w:val="18"/>
          <w:szCs w:val="18"/>
        </w:rPr>
        <w:t>метилдопы</w:t>
      </w:r>
      <w:proofErr w:type="spellEnd"/>
      <w:r w:rsidRPr="0045157C">
        <w:rPr>
          <w:b w:val="0"/>
          <w:sz w:val="18"/>
          <w:szCs w:val="18"/>
        </w:rPr>
        <w:t>.</w:t>
      </w:r>
    </w:p>
    <w:p w14:paraId="18EF7B65" w14:textId="77777777" w:rsidR="004408E4" w:rsidRPr="0045157C" w:rsidRDefault="004408E4" w:rsidP="004408E4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proofErr w:type="spellStart"/>
      <w:r w:rsidRPr="0045157C">
        <w:rPr>
          <w:b w:val="0"/>
          <w:sz w:val="18"/>
          <w:szCs w:val="18"/>
        </w:rPr>
        <w:t>Хинолоны</w:t>
      </w:r>
      <w:proofErr w:type="spellEnd"/>
      <w:r w:rsidRPr="0045157C">
        <w:rPr>
          <w:b w:val="0"/>
          <w:sz w:val="18"/>
          <w:szCs w:val="18"/>
        </w:rPr>
        <w:t xml:space="preserve">: абсорбция </w:t>
      </w:r>
      <w:proofErr w:type="spellStart"/>
      <w:r w:rsidRPr="0045157C">
        <w:rPr>
          <w:b w:val="0"/>
          <w:sz w:val="18"/>
          <w:szCs w:val="18"/>
        </w:rPr>
        <w:t>хинолонов</w:t>
      </w:r>
      <w:proofErr w:type="spellEnd"/>
      <w:r w:rsidRPr="0045157C">
        <w:rPr>
          <w:b w:val="0"/>
          <w:sz w:val="18"/>
          <w:szCs w:val="18"/>
        </w:rPr>
        <w:t xml:space="preserve"> в ЖКТ снижена.</w:t>
      </w:r>
    </w:p>
    <w:p w14:paraId="365D9B7F" w14:textId="77777777" w:rsidR="004408E4" w:rsidRPr="0045157C" w:rsidRDefault="004408E4" w:rsidP="004408E4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proofErr w:type="spellStart"/>
      <w:r w:rsidRPr="0045157C">
        <w:rPr>
          <w:b w:val="0"/>
          <w:sz w:val="18"/>
          <w:szCs w:val="18"/>
        </w:rPr>
        <w:t>Пеницилламин</w:t>
      </w:r>
      <w:proofErr w:type="spellEnd"/>
      <w:r w:rsidRPr="0045157C">
        <w:rPr>
          <w:b w:val="0"/>
          <w:sz w:val="18"/>
          <w:szCs w:val="18"/>
        </w:rPr>
        <w:t xml:space="preserve">: заметное снижение абсорбции </w:t>
      </w:r>
      <w:proofErr w:type="spellStart"/>
      <w:r w:rsidRPr="0045157C">
        <w:rPr>
          <w:b w:val="0"/>
          <w:sz w:val="18"/>
          <w:szCs w:val="18"/>
        </w:rPr>
        <w:t>пеницилламина</w:t>
      </w:r>
      <w:proofErr w:type="spellEnd"/>
      <w:r w:rsidRPr="0045157C">
        <w:rPr>
          <w:b w:val="0"/>
          <w:sz w:val="18"/>
          <w:szCs w:val="18"/>
        </w:rPr>
        <w:t xml:space="preserve"> в желудочно-кишечном тракте.</w:t>
      </w:r>
    </w:p>
    <w:p w14:paraId="40232DC1" w14:textId="77777777" w:rsidR="004408E4" w:rsidRPr="0045157C" w:rsidRDefault="004408E4" w:rsidP="004408E4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r w:rsidRPr="0045157C">
        <w:rPr>
          <w:b w:val="0"/>
          <w:sz w:val="18"/>
          <w:szCs w:val="18"/>
        </w:rPr>
        <w:t xml:space="preserve">Тетрациклины: снижение </w:t>
      </w:r>
      <w:proofErr w:type="gramStart"/>
      <w:r w:rsidRPr="0045157C">
        <w:rPr>
          <w:b w:val="0"/>
          <w:sz w:val="18"/>
          <w:szCs w:val="18"/>
        </w:rPr>
        <w:t>абсорбции</w:t>
      </w:r>
      <w:proofErr w:type="gramEnd"/>
      <w:r w:rsidRPr="0045157C">
        <w:rPr>
          <w:b w:val="0"/>
          <w:sz w:val="18"/>
          <w:szCs w:val="18"/>
        </w:rPr>
        <w:t xml:space="preserve"> как тетрациклинов, так и солей железа.</w:t>
      </w:r>
    </w:p>
    <w:p w14:paraId="209F1E0E" w14:textId="77777777" w:rsidR="00B85A9F" w:rsidRPr="0045157C" w:rsidRDefault="004408E4" w:rsidP="004408E4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45157C">
        <w:rPr>
          <w:b w:val="0"/>
          <w:sz w:val="18"/>
          <w:szCs w:val="18"/>
        </w:rPr>
        <w:t>Пища: яйца и молоко препятствуют всасыванию железа. Прием добавок кальция и железа с пищей снижает всасывание железа на треть.</w:t>
      </w:r>
    </w:p>
    <w:p w14:paraId="1350C9DE" w14:textId="77777777" w:rsidR="00917039" w:rsidRPr="0045157C" w:rsidRDefault="00917039" w:rsidP="00917039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bookmarkStart w:id="9" w:name="bookmark13"/>
      <w:bookmarkStart w:id="10" w:name="bookmark11"/>
      <w:r w:rsidRPr="0045157C">
        <w:rPr>
          <w:sz w:val="18"/>
          <w:szCs w:val="18"/>
        </w:rPr>
        <w:t>Форма выпуска</w:t>
      </w:r>
      <w:bookmarkEnd w:id="9"/>
      <w:r w:rsidRPr="0045157C">
        <w:rPr>
          <w:sz w:val="18"/>
          <w:szCs w:val="18"/>
        </w:rPr>
        <w:t>:</w:t>
      </w:r>
    </w:p>
    <w:p w14:paraId="1D5D07C4" w14:textId="0BE9C552" w:rsidR="00B85A9F" w:rsidRPr="0045157C" w:rsidRDefault="00B85A9F" w:rsidP="00917039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45157C">
        <w:rPr>
          <w:b w:val="0"/>
          <w:sz w:val="18"/>
          <w:szCs w:val="18"/>
          <w:shd w:val="clear" w:color="auto" w:fill="FFFFFF"/>
        </w:rPr>
        <w:t>Капсулы №</w:t>
      </w:r>
      <w:r w:rsidR="00B156FF">
        <w:rPr>
          <w:b w:val="0"/>
          <w:sz w:val="18"/>
          <w:szCs w:val="18"/>
          <w:shd w:val="clear" w:color="auto" w:fill="FFFFFF"/>
        </w:rPr>
        <w:t xml:space="preserve"> </w:t>
      </w:r>
      <w:r w:rsidRPr="0045157C">
        <w:rPr>
          <w:b w:val="0"/>
          <w:sz w:val="18"/>
          <w:szCs w:val="18"/>
          <w:shd w:val="clear" w:color="auto" w:fill="FFFFFF"/>
        </w:rPr>
        <w:t>30. По 10 капсул в контурной ячейковой упаковке</w:t>
      </w:r>
      <w:r w:rsidR="002F5395" w:rsidRPr="0045157C">
        <w:rPr>
          <w:b w:val="0"/>
          <w:sz w:val="18"/>
          <w:szCs w:val="18"/>
          <w:shd w:val="clear" w:color="auto" w:fill="FFFFFF"/>
        </w:rPr>
        <w:t xml:space="preserve">. </w:t>
      </w:r>
      <w:r w:rsidR="0045157C" w:rsidRPr="0045157C">
        <w:rPr>
          <w:b w:val="0"/>
          <w:sz w:val="18"/>
          <w:szCs w:val="18"/>
          <w:shd w:val="clear" w:color="auto" w:fill="FFFFFF"/>
        </w:rPr>
        <w:t>По 3 контурно-</w:t>
      </w:r>
      <w:r w:rsidRPr="0045157C">
        <w:rPr>
          <w:b w:val="0"/>
          <w:sz w:val="18"/>
          <w:szCs w:val="18"/>
          <w:shd w:val="clear" w:color="auto" w:fill="FFFFFF"/>
        </w:rPr>
        <w:t>ячейковых упаковок вместе с инстру</w:t>
      </w:r>
      <w:r w:rsidR="002F5395" w:rsidRPr="0045157C">
        <w:rPr>
          <w:b w:val="0"/>
          <w:sz w:val="18"/>
          <w:szCs w:val="18"/>
          <w:shd w:val="clear" w:color="auto" w:fill="FFFFFF"/>
        </w:rPr>
        <w:t>кцией по применению помещают в картонную пачку</w:t>
      </w:r>
      <w:r w:rsidRPr="0045157C">
        <w:rPr>
          <w:b w:val="0"/>
          <w:sz w:val="18"/>
          <w:szCs w:val="18"/>
          <w:shd w:val="clear" w:color="auto" w:fill="FFFFFF"/>
        </w:rPr>
        <w:t>.</w:t>
      </w:r>
    </w:p>
    <w:p w14:paraId="14FFB3EF" w14:textId="77777777" w:rsidR="00917039" w:rsidRPr="0045157C" w:rsidRDefault="00917039" w:rsidP="00917039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bookmarkStart w:id="11" w:name="bookmark14"/>
      <w:bookmarkEnd w:id="10"/>
      <w:r w:rsidRPr="0045157C">
        <w:rPr>
          <w:sz w:val="18"/>
          <w:szCs w:val="18"/>
        </w:rPr>
        <w:t>Условия хранения</w:t>
      </w:r>
      <w:bookmarkEnd w:id="11"/>
      <w:r w:rsidRPr="0045157C">
        <w:rPr>
          <w:sz w:val="18"/>
          <w:szCs w:val="18"/>
        </w:rPr>
        <w:t>:</w:t>
      </w:r>
    </w:p>
    <w:p w14:paraId="30A6A779" w14:textId="2243A472" w:rsidR="00917039" w:rsidRPr="0045157C" w:rsidRDefault="00917039" w:rsidP="00917039">
      <w:pPr>
        <w:pStyle w:val="20"/>
        <w:shd w:val="clear" w:color="auto" w:fill="auto"/>
        <w:spacing w:after="0" w:line="240" w:lineRule="auto"/>
        <w:jc w:val="both"/>
        <w:rPr>
          <w:rFonts w:ascii="Times New Roman" w:eastAsia="BatangChe" w:hAnsi="Times New Roman" w:cs="Times New Roman"/>
          <w:b w:val="0"/>
          <w:sz w:val="18"/>
          <w:szCs w:val="18"/>
        </w:rPr>
      </w:pPr>
      <w:r w:rsidRPr="0045157C">
        <w:rPr>
          <w:rFonts w:ascii="Times New Roman" w:eastAsia="BatangChe" w:hAnsi="Times New Roman" w:cs="Times New Roman"/>
          <w:b w:val="0"/>
          <w:sz w:val="18"/>
          <w:szCs w:val="18"/>
        </w:rPr>
        <w:t>Хранить в сухом, защищенном от света месте при температуре не выше 25</w:t>
      </w:r>
      <w:r w:rsidR="00B156FF">
        <w:rPr>
          <w:rFonts w:ascii="Times New Roman" w:eastAsia="BatangChe" w:hAnsi="Times New Roman" w:cs="Times New Roman"/>
          <w:b w:val="0"/>
          <w:sz w:val="18"/>
          <w:szCs w:val="18"/>
        </w:rPr>
        <w:t xml:space="preserve"> </w:t>
      </w:r>
      <w:r w:rsidRPr="0045157C">
        <w:rPr>
          <w:rFonts w:ascii="Times New Roman" w:eastAsia="BatangChe" w:hAnsi="Times New Roman" w:cs="Times New Roman"/>
          <w:b w:val="0"/>
          <w:sz w:val="18"/>
          <w:szCs w:val="18"/>
        </w:rPr>
        <w:t>°С.</w:t>
      </w:r>
    </w:p>
    <w:p w14:paraId="78DBF68F" w14:textId="77777777" w:rsidR="009047DC" w:rsidRPr="0045157C" w:rsidRDefault="009047DC" w:rsidP="009047DC">
      <w:pPr>
        <w:rPr>
          <w:rFonts w:ascii="Times New Roman" w:eastAsia="BatangChe" w:hAnsi="Times New Roman" w:cs="Times New Roman"/>
          <w:sz w:val="18"/>
          <w:szCs w:val="18"/>
        </w:rPr>
      </w:pPr>
      <w:r w:rsidRPr="0045157C">
        <w:rPr>
          <w:rFonts w:ascii="Times New Roman" w:eastAsia="BatangChe" w:hAnsi="Times New Roman" w:cs="Times New Roman"/>
          <w:sz w:val="18"/>
          <w:szCs w:val="18"/>
        </w:rPr>
        <w:t>Хранить</w:t>
      </w:r>
      <w:r w:rsidR="00917039" w:rsidRPr="0045157C">
        <w:rPr>
          <w:rFonts w:ascii="Times New Roman" w:eastAsia="BatangChe" w:hAnsi="Times New Roman" w:cs="Times New Roman"/>
          <w:sz w:val="18"/>
          <w:szCs w:val="18"/>
        </w:rPr>
        <w:t xml:space="preserve"> препарат в недоступном для детей месте.</w:t>
      </w:r>
    </w:p>
    <w:p w14:paraId="644E4C38" w14:textId="298ED61E" w:rsidR="000C5CEB" w:rsidRPr="0045157C" w:rsidRDefault="009047DC" w:rsidP="009047DC">
      <w:pPr>
        <w:rPr>
          <w:rFonts w:ascii="Times New Roman" w:eastAsia="BatangChe" w:hAnsi="Times New Roman" w:cs="Times New Roman"/>
          <w:sz w:val="18"/>
          <w:szCs w:val="18"/>
        </w:rPr>
      </w:pPr>
      <w:r w:rsidRPr="0045157C">
        <w:rPr>
          <w:rFonts w:ascii="Times New Roman" w:hAnsi="Times New Roman" w:cs="Times New Roman"/>
          <w:sz w:val="18"/>
          <w:szCs w:val="18"/>
        </w:rPr>
        <w:lastRenderedPageBreak/>
        <w:t>Не использовать</w:t>
      </w:r>
      <w:r w:rsidR="000C5CEB" w:rsidRPr="0045157C">
        <w:rPr>
          <w:rFonts w:ascii="Times New Roman" w:hAnsi="Times New Roman" w:cs="Times New Roman"/>
          <w:sz w:val="18"/>
          <w:szCs w:val="18"/>
        </w:rPr>
        <w:t xml:space="preserve"> препарат по истечении срока годности, указанного на блистере и картонной коробке.</w:t>
      </w:r>
    </w:p>
    <w:p w14:paraId="5EB4564D" w14:textId="77777777" w:rsidR="000C5CEB" w:rsidRPr="0045157C" w:rsidRDefault="000C5CEB" w:rsidP="000C5CEB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r w:rsidRPr="0045157C">
        <w:rPr>
          <w:sz w:val="18"/>
          <w:szCs w:val="18"/>
        </w:rPr>
        <w:t>Условия отпуска из аптек:</w:t>
      </w:r>
    </w:p>
    <w:p w14:paraId="475FBC1D" w14:textId="77777777" w:rsidR="000C5CEB" w:rsidRPr="0045157C" w:rsidRDefault="000C5CEB" w:rsidP="000C5CEB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5157C">
        <w:rPr>
          <w:rFonts w:ascii="Times New Roman" w:hAnsi="Times New Roman" w:cs="Times New Roman"/>
          <w:b w:val="0"/>
          <w:sz w:val="18"/>
          <w:szCs w:val="18"/>
        </w:rPr>
        <w:t>По рецепту врача.</w:t>
      </w:r>
    </w:p>
    <w:p w14:paraId="3EC06CD7" w14:textId="77777777" w:rsidR="000C5CEB" w:rsidRPr="0045157C" w:rsidRDefault="000C5CEB" w:rsidP="000C5C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771C58CE" w14:textId="77777777" w:rsidR="000C5CEB" w:rsidRPr="0045157C" w:rsidRDefault="000C5CEB" w:rsidP="000C5C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5157C">
        <w:rPr>
          <w:rFonts w:ascii="Times New Roman" w:hAnsi="Times New Roman" w:cs="Times New Roman"/>
          <w:b/>
          <w:bCs/>
          <w:sz w:val="18"/>
          <w:szCs w:val="18"/>
        </w:rPr>
        <w:t>Произведено для:</w:t>
      </w:r>
    </w:p>
    <w:p w14:paraId="1587DBD6" w14:textId="77777777" w:rsidR="000C5CEB" w:rsidRPr="0045157C" w:rsidRDefault="000C5CEB" w:rsidP="000C5C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5157C">
        <w:rPr>
          <w:rFonts w:ascii="Times New Roman" w:hAnsi="Times New Roman" w:cs="Times New Roman"/>
          <w:b/>
          <w:bCs/>
          <w:sz w:val="18"/>
          <w:szCs w:val="18"/>
          <w:lang w:val="en-US"/>
        </w:rPr>
        <w:t>MAXX</w:t>
      </w:r>
      <w:r w:rsidRPr="0045157C">
        <w:rPr>
          <w:rFonts w:ascii="Times New Roman" w:hAnsi="Times New Roman" w:cs="Times New Roman"/>
          <w:b/>
          <w:bCs/>
          <w:sz w:val="18"/>
          <w:szCs w:val="18"/>
        </w:rPr>
        <w:t>-</w:t>
      </w:r>
      <w:r w:rsidRPr="0045157C">
        <w:rPr>
          <w:rFonts w:ascii="Times New Roman" w:hAnsi="Times New Roman" w:cs="Times New Roman"/>
          <w:b/>
          <w:bCs/>
          <w:sz w:val="18"/>
          <w:szCs w:val="18"/>
          <w:lang w:val="en-US"/>
        </w:rPr>
        <w:t>PHARMA</w:t>
      </w:r>
      <w:r w:rsidRPr="0045157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45157C">
        <w:rPr>
          <w:rFonts w:ascii="Times New Roman" w:hAnsi="Times New Roman" w:cs="Times New Roman"/>
          <w:b/>
          <w:bCs/>
          <w:sz w:val="18"/>
          <w:szCs w:val="18"/>
          <w:lang w:val="en-US"/>
        </w:rPr>
        <w:t>LTD</w:t>
      </w:r>
    </w:p>
    <w:p w14:paraId="1809641B" w14:textId="77777777" w:rsidR="000C5CEB" w:rsidRPr="0045157C" w:rsidRDefault="000C5CEB" w:rsidP="000C5C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5157C">
        <w:rPr>
          <w:rFonts w:ascii="Times New Roman" w:hAnsi="Times New Roman" w:cs="Times New Roman"/>
          <w:b/>
          <w:bCs/>
          <w:sz w:val="18"/>
          <w:szCs w:val="18"/>
        </w:rPr>
        <w:t>Лондон, Великобритания</w:t>
      </w:r>
    </w:p>
    <w:p w14:paraId="3B521E99" w14:textId="77777777" w:rsidR="000C5CEB" w:rsidRPr="0045157C" w:rsidRDefault="000C5CEB" w:rsidP="000C5C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14:paraId="6106F2A4" w14:textId="03C957CC" w:rsidR="000C5CEB" w:rsidRPr="00FA1306" w:rsidRDefault="000C5CEB" w:rsidP="000C5CEB">
      <w:pPr>
        <w:rPr>
          <w:rFonts w:ascii="Times New Roman" w:eastAsia="BatangChe" w:hAnsi="Times New Roman" w:cs="Times New Roman"/>
          <w:sz w:val="18"/>
          <w:szCs w:val="18"/>
        </w:rPr>
      </w:pPr>
      <w:bookmarkStart w:id="12" w:name="_GoBack"/>
      <w:bookmarkEnd w:id="12"/>
    </w:p>
    <w:sectPr w:rsidR="000C5CEB" w:rsidRPr="00FA1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F7198"/>
    <w:multiLevelType w:val="multilevel"/>
    <w:tmpl w:val="69DC76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FC2F86"/>
    <w:multiLevelType w:val="multilevel"/>
    <w:tmpl w:val="BFD0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039"/>
    <w:rsid w:val="000B7CCD"/>
    <w:rsid w:val="000C5CEB"/>
    <w:rsid w:val="00194669"/>
    <w:rsid w:val="001F1F2D"/>
    <w:rsid w:val="002002BE"/>
    <w:rsid w:val="002D4A88"/>
    <w:rsid w:val="002F5395"/>
    <w:rsid w:val="00307EB1"/>
    <w:rsid w:val="00371F14"/>
    <w:rsid w:val="003D0331"/>
    <w:rsid w:val="004408E4"/>
    <w:rsid w:val="0045157C"/>
    <w:rsid w:val="00566E7F"/>
    <w:rsid w:val="005B1CF8"/>
    <w:rsid w:val="005F2E3F"/>
    <w:rsid w:val="00602649"/>
    <w:rsid w:val="00654017"/>
    <w:rsid w:val="00656A47"/>
    <w:rsid w:val="006F75BF"/>
    <w:rsid w:val="007154FC"/>
    <w:rsid w:val="00753A74"/>
    <w:rsid w:val="00756E06"/>
    <w:rsid w:val="008954DD"/>
    <w:rsid w:val="008D1408"/>
    <w:rsid w:val="009047DC"/>
    <w:rsid w:val="00917039"/>
    <w:rsid w:val="00926DC0"/>
    <w:rsid w:val="00982F6A"/>
    <w:rsid w:val="00A009F6"/>
    <w:rsid w:val="00AE1E8D"/>
    <w:rsid w:val="00B156FF"/>
    <w:rsid w:val="00B82F5D"/>
    <w:rsid w:val="00B85A9F"/>
    <w:rsid w:val="00C24BDD"/>
    <w:rsid w:val="00D60C94"/>
    <w:rsid w:val="00DA291E"/>
    <w:rsid w:val="00E04CCC"/>
    <w:rsid w:val="00E36D72"/>
    <w:rsid w:val="00E86760"/>
    <w:rsid w:val="00EB0F0C"/>
    <w:rsid w:val="00EF6B4B"/>
    <w:rsid w:val="00F149DC"/>
    <w:rsid w:val="00F75932"/>
    <w:rsid w:val="00FA1306"/>
    <w:rsid w:val="00FF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092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17039"/>
    <w:rPr>
      <w:rFonts w:ascii="Calibri" w:eastAsia="Calibri" w:hAnsi="Calibri" w:cs="Calibri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7039"/>
    <w:pPr>
      <w:widowControl w:val="0"/>
      <w:shd w:val="clear" w:color="auto" w:fill="FFFFFF"/>
      <w:spacing w:after="240" w:line="269" w:lineRule="exact"/>
      <w:jc w:val="center"/>
    </w:pPr>
    <w:rPr>
      <w:rFonts w:ascii="Calibri" w:eastAsia="Calibri" w:hAnsi="Calibri" w:cs="Calibri"/>
      <w:b/>
      <w:bCs/>
    </w:rPr>
  </w:style>
  <w:style w:type="character" w:customStyle="1" w:styleId="3">
    <w:name w:val="Основной текст (3)_"/>
    <w:basedOn w:val="a0"/>
    <w:link w:val="30"/>
    <w:rsid w:val="0091703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170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91703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Курсив"/>
    <w:basedOn w:val="2"/>
    <w:rsid w:val="00917039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9170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17039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917039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20pt">
    <w:name w:val="Основной текст (2) + Не полужирный;Курсив;Интервал 0 pt"/>
    <w:basedOn w:val="2"/>
    <w:rsid w:val="009170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917039"/>
    <w:pPr>
      <w:widowControl w:val="0"/>
      <w:shd w:val="clear" w:color="auto" w:fill="FFFFFF"/>
      <w:spacing w:after="0" w:line="278" w:lineRule="exact"/>
      <w:ind w:hanging="360"/>
    </w:pPr>
    <w:rPr>
      <w:rFonts w:ascii="Times New Roman" w:eastAsia="Times New Roman" w:hAnsi="Times New Roman" w:cs="Times New Roman"/>
      <w:color w:val="000000"/>
      <w:sz w:val="21"/>
      <w:szCs w:val="21"/>
      <w:lang w:eastAsia="zh-CN"/>
    </w:rPr>
  </w:style>
  <w:style w:type="character" w:customStyle="1" w:styleId="a3">
    <w:name w:val="Подпись к таблице_"/>
    <w:basedOn w:val="a0"/>
    <w:link w:val="a4"/>
    <w:rsid w:val="0091703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9170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17039"/>
    <w:rPr>
      <w:rFonts w:ascii="Calibri" w:eastAsia="Calibri" w:hAnsi="Calibri" w:cs="Calibri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7039"/>
    <w:pPr>
      <w:widowControl w:val="0"/>
      <w:shd w:val="clear" w:color="auto" w:fill="FFFFFF"/>
      <w:spacing w:after="240" w:line="269" w:lineRule="exact"/>
      <w:jc w:val="center"/>
    </w:pPr>
    <w:rPr>
      <w:rFonts w:ascii="Calibri" w:eastAsia="Calibri" w:hAnsi="Calibri" w:cs="Calibri"/>
      <w:b/>
      <w:bCs/>
    </w:rPr>
  </w:style>
  <w:style w:type="character" w:customStyle="1" w:styleId="3">
    <w:name w:val="Основной текст (3)_"/>
    <w:basedOn w:val="a0"/>
    <w:link w:val="30"/>
    <w:rsid w:val="0091703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170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91703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Курсив"/>
    <w:basedOn w:val="2"/>
    <w:rsid w:val="00917039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9170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17039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917039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20pt">
    <w:name w:val="Основной текст (2) + Не полужирный;Курсив;Интервал 0 pt"/>
    <w:basedOn w:val="2"/>
    <w:rsid w:val="009170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917039"/>
    <w:pPr>
      <w:widowControl w:val="0"/>
      <w:shd w:val="clear" w:color="auto" w:fill="FFFFFF"/>
      <w:spacing w:after="0" w:line="278" w:lineRule="exact"/>
      <w:ind w:hanging="360"/>
    </w:pPr>
    <w:rPr>
      <w:rFonts w:ascii="Times New Roman" w:eastAsia="Times New Roman" w:hAnsi="Times New Roman" w:cs="Times New Roman"/>
      <w:color w:val="000000"/>
      <w:sz w:val="21"/>
      <w:szCs w:val="21"/>
      <w:lang w:eastAsia="zh-CN"/>
    </w:rPr>
  </w:style>
  <w:style w:type="character" w:customStyle="1" w:styleId="a3">
    <w:name w:val="Подпись к таблице_"/>
    <w:basedOn w:val="a0"/>
    <w:link w:val="a4"/>
    <w:rsid w:val="0091703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9170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2021-10-22T06:33:00Z</dcterms:created>
  <dcterms:modified xsi:type="dcterms:W3CDTF">2024-01-22T03:19:00Z</dcterms:modified>
</cp:coreProperties>
</file>